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png" ContentType="image/png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itoloprincipale"/>
        <w:jc w:val="center"/>
        <w:rPr>
          <w:b/>
          <w:b/>
          <w:sz w:val="72"/>
        </w:rPr>
      </w:pPr>
      <w:bookmarkStart w:id="0" w:name="_Hlk29816148"/>
      <w:bookmarkEnd w:id="0"/>
      <w:r>
        <w:rPr>
          <w:b/>
          <w:sz w:val="72"/>
          <w:shd w:fill="FFFFFF" w:val="clear"/>
        </w:rPr>
        <w:t xml:space="preserve">TPP Testing </w:t>
      </w:r>
      <w:r>
        <w:rPr>
          <w:b/>
          <w:sz w:val="72"/>
        </w:rPr>
        <w:t>Guide</w:t>
      </w:r>
    </w:p>
    <w:p>
      <w:pPr>
        <w:pStyle w:val="Titoloprincipale"/>
        <w:jc w:val="center"/>
        <w:rPr>
          <w:sz w:val="48"/>
        </w:rPr>
      </w:pPr>
      <w:r>
        <w:rPr>
          <w:sz w:val="48"/>
          <w:shd w:fill="FFFFFF" w:val="clear"/>
        </w:rPr>
        <w:t>CBPII (Card Based Payment Instrument Issuer)</w:t>
      </w:r>
    </w:p>
    <w:p>
      <w:pPr>
        <w:pStyle w:val="Normal"/>
        <w:rPr/>
      </w:pPr>
      <w:r>
        <w:rPr/>
      </w:r>
    </w:p>
    <w:sdt>
      <w:sdtPr>
        <w:docPartObj>
          <w:docPartGallery w:val="Table of Contents"/>
          <w:docPartUnique w:val="true"/>
        </w:docPartObj>
        <w:id w:val="274180788"/>
      </w:sdtPr>
      <w:sdtContent>
        <w:p>
          <w:pPr>
            <w:pStyle w:val="TOCHeading"/>
            <w:rPr/>
          </w:pPr>
          <w:r>
            <w:rPr/>
            <w:t>Contents</w:t>
          </w:r>
        </w:p>
        <w:p>
          <w:pPr>
            <w:pStyle w:val="Indice1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r>
            <w:fldChar w:fldCharType="begin"/>
          </w:r>
          <w:r>
            <w:rPr>
              <w:webHidden/>
              <w:rStyle w:val="Saltoaindice"/>
            </w:rPr>
            <w:instrText> TOC \z \o "1-3" \u \h</w:instrText>
          </w:r>
          <w:r>
            <w:rPr>
              <w:webHidden/>
              <w:rStyle w:val="Saltoaindice"/>
            </w:rPr>
            <w:fldChar w:fldCharType="separate"/>
          </w:r>
          <w:hyperlink w:anchor="_Toc29911322">
            <w:r>
              <w:rPr>
                <w:webHidden/>
                <w:rStyle w:val="Saltoaindice"/>
              </w:rPr>
              <w:t>ENVIRONMENT VARIABLES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_Toc29911322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1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1323">
            <w:r>
              <w:rPr>
                <w:webHidden/>
                <w:rStyle w:val="Saltoaindice"/>
              </w:rPr>
              <w:t>COOKIES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_Toc29911323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2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1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1324">
            <w:r>
              <w:rPr>
                <w:webHidden/>
                <w:rStyle w:val="Saltoaindice"/>
              </w:rPr>
              <w:t>CONSENT CREATION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_Toc29911324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3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Indice1"/>
            <w:tabs>
              <w:tab w:val="right" w:pos="9016" w:leader="dot"/>
            </w:tabs>
            <w:rPr>
              <w:rFonts w:eastAsia="" w:eastAsiaTheme="minorEastAsia"/>
              <w:lang w:eastAsia="en-GB"/>
            </w:rPr>
          </w:pPr>
          <w:hyperlink w:anchor="_Toc29911325">
            <w:r>
              <w:rPr>
                <w:webHidden/>
                <w:rStyle w:val="Saltoaindice"/>
              </w:rPr>
              <w:t>AISP FUNDS CONFIRMATION APIs</w:t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>PAGEREF _Toc29911325 \h</w:instrText>
            </w:r>
            <w:r>
              <w:rPr>
                <w:webHidden/>
              </w:rPr>
              <w:fldChar w:fldCharType="separate"/>
            </w:r>
            <w:r>
              <w:rPr>
                <w:rStyle w:val="Saltoaindice"/>
                <w:vanish w:val="false"/>
              </w:rPr>
              <w:tab/>
              <w:t>8</w:t>
            </w:r>
            <w:r>
              <w:rPr>
                <w:webHidden/>
              </w:rPr>
              <w:fldChar w:fldCharType="end"/>
            </w:r>
          </w:hyperlink>
        </w:p>
        <w:p>
          <w:pPr>
            <w:pStyle w:val="Normal"/>
            <w:rPr/>
          </w:pPr>
          <w:r>
            <w:rPr/>
          </w:r>
          <w:r>
            <w:rPr/>
            <w:fldChar w:fldCharType="end"/>
          </w:r>
        </w:p>
      </w:sdtContent>
    </w:sdt>
    <w:p>
      <w:pPr>
        <w:pStyle w:val="Normal"/>
        <w:rPr>
          <w:rFonts w:ascii="Calibri Light" w:hAnsi="Calibri Light" w:eastAsia="" w:cs="" w:asciiTheme="majorHAnsi" w:cstheme="majorBidi" w:eastAsiaTheme="majorEastAsia" w:hAnsiTheme="majorHAnsi"/>
          <w:b/>
          <w:b/>
          <w:color w:val="2F5496" w:themeColor="accent1" w:themeShade="bf"/>
          <w:sz w:val="32"/>
          <w:szCs w:val="32"/>
        </w:rPr>
      </w:pPr>
      <w:r>
        <w:rPr>
          <w:rFonts w:eastAsia="" w:cs="" w:cstheme="majorBidi" w:eastAsiaTheme="majorEastAsia" w:ascii="Calibri Light" w:hAnsi="Calibri Light"/>
          <w:b/>
          <w:color w:val="2F5496" w:themeColor="accent1" w:themeShade="bf"/>
          <w:sz w:val="32"/>
          <w:szCs w:val="32"/>
        </w:rPr>
      </w:r>
      <w:r>
        <w:br w:type="page"/>
      </w:r>
    </w:p>
    <w:p>
      <w:pPr>
        <w:pStyle w:val="Titolo1"/>
        <w:rPr/>
      </w:pPr>
      <w:bookmarkStart w:id="1" w:name="_Toc29911322"/>
      <w:bookmarkStart w:id="2" w:name="_Toc29909336"/>
      <w:r>
        <w:rPr/>
        <w:t>ENVIRONMENT VARIABLES</w:t>
      </w:r>
      <w:bookmarkEnd w:id="1"/>
      <w:bookmarkEnd w:id="2"/>
      <w:r>
        <w:rPr/>
        <w:t xml:space="preserve">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The following environment variables must be set in the beginning:</w:t>
      </w:r>
    </w:p>
    <w:p>
      <w:pPr>
        <w:pStyle w:val="Normal"/>
        <w:rPr/>
      </w:pPr>
      <w:r>
        <w:rPr>
          <w:b/>
        </w:rPr>
        <w:t>Host</w:t>
      </w:r>
      <w:r>
        <w:rPr/>
        <w:t xml:space="preserve"> – IP of the host with the port number</w:t>
      </w:r>
    </w:p>
    <w:p>
      <w:pPr>
        <w:pStyle w:val="Normal"/>
        <w:rPr/>
      </w:pPr>
      <w:r>
        <w:rPr>
          <w:b/>
        </w:rPr>
        <w:t>cbpiiClient</w:t>
      </w:r>
      <w:r>
        <w:rPr/>
        <w:t xml:space="preserve"> – specific to TPP (this is a generated ID inside OBDX when a new client – TPP – is registered by the bank)</w:t>
      </w:r>
    </w:p>
    <w:p>
      <w:pPr>
        <w:pStyle w:val="Normal"/>
        <w:rPr/>
      </w:pPr>
      <w:r>
        <w:rPr>
          <w:rStyle w:val="Environmentpreviewlistitemkey"/>
          <w:rFonts w:cs="Helvetica" w:ascii="Helvetica" w:hAnsi="Helvetica"/>
          <w:b/>
          <w:sz w:val="18"/>
          <w:szCs w:val="18"/>
          <w:shd w:fill="FAFAFA" w:val="clear"/>
        </w:rPr>
        <w:t>cbpiiClientPassword</w:t>
      </w:r>
      <w:r>
        <w:rPr>
          <w:rStyle w:val="Environmentpreviewlistitemkey"/>
          <w:rFonts w:cs="Helvetica" w:ascii="Helvetica" w:hAnsi="Helvetica"/>
          <w:sz w:val="18"/>
          <w:szCs w:val="18"/>
          <w:shd w:fill="FAFAFA" w:val="clear"/>
        </w:rPr>
        <w:t xml:space="preserve"> </w:t>
      </w:r>
      <w:r>
        <w:rPr/>
        <w:t>– specific to TPP (this is a generated password inside OBDX when a new client – TPP – is registered by the bank)</w:t>
      </w:r>
    </w:p>
    <w:p>
      <w:pPr>
        <w:pStyle w:val="Normal"/>
        <w:rPr/>
      </w:pPr>
      <w:r>
        <w:rPr>
          <w:b/>
        </w:rPr>
        <w:t>redirect_uri</w:t>
      </w:r>
      <w:r>
        <w:rPr/>
        <w:t xml:space="preserve"> – the TPP where the Oracle Banking API should respond the information from the application itself</w:t>
      </w:r>
    </w:p>
    <w:p>
      <w:pPr>
        <w:pStyle w:val="Normal"/>
        <w:rPr/>
      </w:pPr>
      <w:r>
        <w:rPr>
          <w:b/>
        </w:rPr>
        <w:t>cbpiiScope</w:t>
      </w:r>
      <w:r>
        <w:rPr/>
        <w:t xml:space="preserve"> – set it as ‘fundsconfirmations’</w:t>
      </w:r>
      <w:bookmarkStart w:id="3" w:name="__DdeLink__10961_817583454"/>
    </w:p>
    <w:p>
      <w:pPr>
        <w:pStyle w:val="Normal"/>
        <w:rPr/>
      </w:pPr>
      <w:r>
        <w:rPr>
          <w:b/>
        </w:rPr>
        <w:t>apiKey</w:t>
      </w:r>
      <w:r>
        <w:rPr/>
        <w:t xml:space="preserve"> – must be sent on all requests,</w:t>
      </w:r>
      <w:r>
        <w:rPr/>
        <w:t xml:space="preserve"> obtained in https://portal.cabel.it/admin/app/api-explorer</w:t>
      </w:r>
      <w:bookmarkEnd w:id="3"/>
    </w:p>
    <w:p>
      <w:pPr>
        <w:pStyle w:val="Normal"/>
        <w:rPr/>
      </w:pPr>
      <w:r>
        <w:rPr/>
      </w:r>
    </w:p>
    <w:p>
      <w:pPr>
        <w:pStyle w:val="Titolo1"/>
        <w:rPr/>
      </w:pPr>
      <w:bookmarkStart w:id="4" w:name="_Toc29911323"/>
      <w:r>
        <w:drawing>
          <wp:anchor behindDoc="0" distT="0" distB="7620" distL="114300" distR="118745" simplePos="0" locked="0" layoutInCell="1" allowOverlap="1" relativeHeight="2">
            <wp:simplePos x="0" y="0"/>
            <wp:positionH relativeFrom="margin">
              <wp:posOffset>5229225</wp:posOffset>
            </wp:positionH>
            <wp:positionV relativeFrom="margin">
              <wp:posOffset>3157220</wp:posOffset>
            </wp:positionV>
            <wp:extent cx="414655" cy="354330"/>
            <wp:effectExtent l="0" t="0" r="0" b="0"/>
            <wp:wrapSquare wrapText="bothSides"/>
            <wp:docPr id="1" name="Picture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55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C</w:t>
      </w:r>
      <w:r>
        <w:rPr/>
        <w:t>OOKIES</w:t>
      </w:r>
      <w:bookmarkEnd w:id="4"/>
      <w:r>
        <w:rPr/>
        <w:t xml:space="preserve"> </w:t>
      </w:r>
    </w:p>
    <w:p>
      <w:pPr>
        <w:pStyle w:val="Normal"/>
        <w:rPr/>
      </w:pPr>
      <w:r>
        <w:rPr/>
        <w:t xml:space="preserve">In every step we must be sure that all the </w:t>
      </w:r>
      <w:r>
        <w:rPr>
          <w:b/>
        </w:rPr>
        <w:t>cookies</w:t>
      </w:r>
      <w:r>
        <w:rPr/>
        <w:t xml:space="preserve"> have been </w:t>
      </w:r>
      <w:r>
        <w:rPr>
          <w:b/>
        </w:rPr>
        <w:t>deleted</w:t>
      </w:r>
      <w:r>
        <w:rPr/>
        <w:t>.</w:t>
      </w:r>
    </w:p>
    <w:p>
      <w:pPr>
        <w:pStyle w:val="Normal"/>
        <w:rPr>
          <w:b/>
          <w:b/>
        </w:rPr>
      </w:pPr>
      <w:r>
        <w:rPr>
          <w:b/>
        </w:rPr>
      </w:r>
      <w:r>
        <w:br w:type="page"/>
      </w:r>
    </w:p>
    <w:p>
      <w:pPr>
        <w:pStyle w:val="Titolo1"/>
        <w:rPr/>
      </w:pPr>
      <w:bookmarkStart w:id="5" w:name="_Toc29911324"/>
      <w:r>
        <w:rPr/>
        <w:t>CONSENT CREATION</w:t>
      </w:r>
      <w:bookmarkEnd w:id="5"/>
    </w:p>
    <w:p>
      <w:pPr>
        <w:pStyle w:val="ListParagraph"/>
        <w:numPr>
          <w:ilvl w:val="0"/>
          <w:numId w:val="1"/>
        </w:numPr>
        <w:rPr>
          <w:b/>
          <w:b/>
        </w:rPr>
      </w:pPr>
      <w:r>
        <w:rPr>
          <w:b/>
        </w:rPr>
        <w:t xml:space="preserve">Client Credentials Access Token </w:t>
      </w:r>
    </w:p>
    <w:p>
      <w:pPr>
        <w:pStyle w:val="ListParagraph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2"/>
        </w:numPr>
        <w:rPr/>
      </w:pPr>
      <w:r>
        <w:rPr/>
        <w:t xml:space="preserve">Username is the cbpiiClient and the Password is the </w:t>
      </w:r>
      <w:r>
        <w:rPr>
          <w:rStyle w:val="Environmentpreviewlistitemkey"/>
          <w:rFonts w:cs="Helvetica" w:ascii="Helvetica" w:hAnsi="Helvetica"/>
          <w:sz w:val="18"/>
          <w:szCs w:val="18"/>
          <w:shd w:fill="FAFAFA" w:val="clear"/>
        </w:rPr>
        <w:t xml:space="preserve">cbpiiClientPassword </w:t>
      </w:r>
      <w:r>
        <w:rPr/>
        <w:t>earlier specified in the collection’s environment.</w:t>
      </w:r>
    </w:p>
    <w:p>
      <w:pPr>
        <w:pStyle w:val="ListParagraph"/>
        <w:numPr>
          <w:ilvl w:val="0"/>
          <w:numId w:val="2"/>
        </w:numPr>
        <w:rPr/>
      </w:pPr>
      <w:r>
        <w:rPr/>
        <w:t>Click on Send.</w:t>
      </w:r>
    </w:p>
    <w:p>
      <w:pPr>
        <w:pStyle w:val="ListParagraph"/>
        <w:numPr>
          <w:ilvl w:val="0"/>
          <w:numId w:val="2"/>
        </w:numPr>
        <w:rPr/>
      </w:pPr>
      <w:r>
        <w:rPr/>
        <w:t>This is the response provided. Inside there is an access token which will be later used for the call of Consent permission.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4445" distL="0" distR="8890">
            <wp:extent cx="5725160" cy="3100705"/>
            <wp:effectExtent l="0" t="0" r="0" b="0"/>
            <wp:docPr id="2" name="Pictur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0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</w:rPr>
      </w:pPr>
      <w:r>
        <w:rPr>
          <w:b/>
        </w:rPr>
      </w:r>
      <w:r>
        <w:br w:type="page"/>
      </w:r>
    </w:p>
    <w:p>
      <w:pPr>
        <w:pStyle w:val="ListParagraph"/>
        <w:numPr>
          <w:ilvl w:val="0"/>
          <w:numId w:val="1"/>
        </w:numPr>
        <w:rPr>
          <w:b/>
          <w:b/>
        </w:rPr>
      </w:pPr>
      <w:r>
        <w:rPr>
          <w:b/>
        </w:rPr>
        <w:t>Create Consent</w:t>
      </w:r>
    </w:p>
    <w:p>
      <w:pPr>
        <w:pStyle w:val="ListParagraph"/>
        <w:numPr>
          <w:ilvl w:val="0"/>
          <w:numId w:val="3"/>
        </w:numPr>
        <w:rPr/>
      </w:pPr>
      <w:r>
        <w:rPr/>
        <w:t xml:space="preserve">Under ‘Body-&gt;raw’, </w:t>
      </w:r>
      <w:r>
        <w:rPr>
          <w:b/>
        </w:rPr>
        <w:t>always</w:t>
      </w:r>
      <w:r>
        <w:rPr/>
        <w:t xml:space="preserve"> set the ExpirationDateTime in the </w:t>
      </w:r>
      <w:r>
        <w:rPr>
          <w:b/>
        </w:rPr>
        <w:t>future</w:t>
      </w:r>
      <w:r>
        <w:rPr/>
        <w:t>.</w:t>
      </w:r>
    </w:p>
    <w:p>
      <w:pPr>
        <w:pStyle w:val="ListParagraph"/>
        <w:numPr>
          <w:ilvl w:val="0"/>
          <w:numId w:val="3"/>
        </w:numPr>
        <w:rPr/>
      </w:pPr>
      <w:r>
        <w:rPr/>
        <w:t xml:space="preserve">The ‘Identification’ parameter is the account number of the bank, which must be preceded by the branch code – since bank has only one branch it should be 101 -  and by 6 other digits which may be whichever digits (in our case 6 zeros). </w:t>
      </w:r>
    </w:p>
    <w:p>
      <w:pPr>
        <w:pStyle w:val="ListParagraph"/>
        <w:numPr>
          <w:ilvl w:val="0"/>
          <w:numId w:val="3"/>
        </w:numPr>
        <w:rPr/>
      </w:pPr>
      <w:r>
        <w:rPr/>
        <w:t xml:space="preserve">Click Send. </w:t>
      </w:r>
    </w:p>
    <w:p>
      <w:pPr>
        <w:pStyle w:val="ListParagraph"/>
        <w:numPr>
          <w:ilvl w:val="0"/>
          <w:numId w:val="3"/>
        </w:numPr>
        <w:rPr/>
      </w:pPr>
      <w:r>
        <w:rPr/>
        <w:t>Under ‘Test results’ a link will be generated.</w:t>
      </w:r>
    </w:p>
    <w:p>
      <w:pPr>
        <w:pStyle w:val="Normal"/>
        <w:rPr/>
      </w:pPr>
      <w:r>
        <w:rPr/>
        <w:t xml:space="preserve"> </w:t>
      </w:r>
      <w:r>
        <w:rPr/>
        <w:drawing>
          <wp:inline distT="0" distB="0" distL="0" distR="8890">
            <wp:extent cx="5725160" cy="3110865"/>
            <wp:effectExtent l="0" t="0" r="0" b="0"/>
            <wp:docPr id="3" name="Picture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/>
      </w:pPr>
      <w:r>
        <w:rPr/>
      </w:r>
    </w:p>
    <w:p>
      <w:pPr>
        <w:pStyle w:val="ListParagraph"/>
        <w:numPr>
          <w:ilvl w:val="0"/>
          <w:numId w:val="3"/>
        </w:numPr>
        <w:rPr/>
      </w:pPr>
      <w:r>
        <w:rPr/>
        <w:t xml:space="preserve">Copy the link and paste the above link in a browser. Confirm that the port number is the one of OBDX internet application and call it. </w:t>
      </w:r>
    </w:p>
    <w:p>
      <w:pPr>
        <w:pStyle w:val="Normal"/>
        <w:rPr/>
      </w:pPr>
      <w:r>
        <w:rPr/>
        <w:drawing>
          <wp:inline distT="0" distB="4445" distL="0" distR="8890">
            <wp:extent cx="5725160" cy="3100705"/>
            <wp:effectExtent l="0" t="0" r="0" b="0"/>
            <wp:docPr id="4" name="Picture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0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>
          <w:i/>
          <w:i/>
          <w:sz w:val="20"/>
        </w:rPr>
      </w:pPr>
      <w:r>
        <w:rPr>
          <w:i/>
          <w:sz w:val="20"/>
        </w:rPr>
        <w:t>Note: We recommend using the Incognito mode for avoiding any cache issues with the browsers.</w:t>
      </w:r>
    </w:p>
    <w:p>
      <w:pPr>
        <w:pStyle w:val="ListParagraph"/>
        <w:numPr>
          <w:ilvl w:val="0"/>
          <w:numId w:val="3"/>
        </w:numPr>
        <w:rPr/>
      </w:pPr>
      <w:r>
        <w:rPr/>
        <w:t xml:space="preserve">This link redirects to a login page where should be provided the credentials of the specific user. By user it’s meant the bank’s customer to which the TPP is requesting access toward resources. </w:t>
      </w:r>
    </w:p>
    <w:p>
      <w:pPr>
        <w:pStyle w:val="ListParagraph"/>
        <w:rPr/>
      </w:pPr>
      <w:r>
        <w:rPr/>
      </w:r>
    </w:p>
    <w:p>
      <w:pPr>
        <w:pStyle w:val="ListParagraph"/>
        <w:ind w:left="0" w:hanging="0"/>
        <w:rPr/>
      </w:pPr>
      <w:r>
        <w:rPr/>
        <w:drawing>
          <wp:inline distT="0" distB="0" distL="0" distR="8890">
            <wp:extent cx="5725160" cy="3110865"/>
            <wp:effectExtent l="0" t="0" r="0" b="0"/>
            <wp:docPr id="5" name="Picture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7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3"/>
        </w:numPr>
        <w:rPr/>
      </w:pPr>
      <w:r>
        <w:rPr/>
        <w:t xml:space="preserve">The customer should give access by confirming. </w:t>
      </w:r>
    </w:p>
    <w:p>
      <w:pPr>
        <w:pStyle w:val="ListParagraph"/>
        <w:rPr/>
      </w:pPr>
      <w:r>
        <w:rPr/>
      </w:r>
    </w:p>
    <w:p>
      <w:pPr>
        <w:pStyle w:val="Normal"/>
        <w:rPr/>
      </w:pPr>
      <w:r>
        <w:rPr/>
        <w:drawing>
          <wp:inline distT="0" distB="0" distL="0" distR="8890">
            <wp:extent cx="5725160" cy="3110865"/>
            <wp:effectExtent l="0" t="0" r="0" b="0"/>
            <wp:docPr id="6" name="Picture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8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ListParagraph"/>
        <w:numPr>
          <w:ilvl w:val="0"/>
          <w:numId w:val="3"/>
        </w:numPr>
        <w:rPr/>
      </w:pPr>
      <w:r>
        <w:rPr/>
        <w:t xml:space="preserve"> </w:t>
      </w:r>
      <w:r>
        <w:rPr/>
        <w:t xml:space="preserve">OBDX will forward the confirmation code to the TPP </w:t>
      </w:r>
      <w:r>
        <w:rPr>
          <w:b/>
          <w:bCs/>
        </w:rPr>
        <w:t>redirect_uri</w:t>
      </w:r>
      <w:r>
        <w:rPr/>
        <w:t xml:space="preserve"> previously specified. As for the postman collection, copy the code from the (=) symbol to the (&amp;) symbol preceding the state. This code will be used on the next step by the TPP to get an access code for the resources.</w:t>
      </w:r>
    </w:p>
    <w:p>
      <w:pPr>
        <w:pStyle w:val="ListParagraph"/>
        <w:rPr/>
      </w:pPr>
      <w:r>
        <w:rPr/>
      </w:r>
    </w:p>
    <w:p>
      <w:pPr>
        <w:pStyle w:val="ListParagraph"/>
        <w:ind w:left="0" w:hanging="0"/>
        <w:rPr/>
      </w:pPr>
      <w:r>
        <w:rPr/>
        <w:drawing>
          <wp:inline distT="19050" distB="15240" distL="19050" distR="21590">
            <wp:extent cx="5731510" cy="3109595"/>
            <wp:effectExtent l="0" t="0" r="0" b="0"/>
            <wp:docPr id="7" name="Picture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9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0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ListParagraph"/>
        <w:rPr/>
      </w:pPr>
      <w:r>
        <w:rPr/>
      </w:r>
    </w:p>
    <w:p>
      <w:pPr>
        <w:pStyle w:val="ListParagraph"/>
        <w:rPr/>
      </w:pPr>
      <w:r>
        <w:rPr/>
      </w:r>
    </w:p>
    <w:p>
      <w:pPr>
        <w:pStyle w:val="ListParagraph"/>
        <w:rPr/>
      </w:pPr>
      <w:r>
        <w:rPr/>
      </w:r>
    </w:p>
    <w:p>
      <w:pPr>
        <w:pStyle w:val="ListParagraph"/>
        <w:rPr/>
      </w:pPr>
      <w:r>
        <w:rPr/>
      </w:r>
    </w:p>
    <w:p>
      <w:pPr>
        <w:pStyle w:val="ListParagraph"/>
        <w:rPr/>
      </w:pPr>
      <w:r>
        <w:rPr/>
      </w:r>
    </w:p>
    <w:p>
      <w:pPr>
        <w:pStyle w:val="ListParagraph"/>
        <w:rPr/>
      </w:pPr>
      <w:r>
        <w:rPr/>
      </w:r>
    </w:p>
    <w:p>
      <w:pPr>
        <w:pStyle w:val="ListParagraph"/>
        <w:rPr/>
      </w:pPr>
      <w:r>
        <w:rPr/>
      </w:r>
    </w:p>
    <w:p>
      <w:pPr>
        <w:pStyle w:val="Normal"/>
        <w:rPr>
          <w:b/>
          <w:b/>
        </w:rPr>
      </w:pPr>
      <w:r>
        <w:rPr>
          <w:b/>
        </w:rPr>
      </w:r>
      <w:r>
        <w:br w:type="page"/>
      </w:r>
    </w:p>
    <w:p>
      <w:pPr>
        <w:pStyle w:val="ListParagraph"/>
        <w:numPr>
          <w:ilvl w:val="0"/>
          <w:numId w:val="1"/>
        </w:numPr>
        <w:rPr>
          <w:b/>
          <w:b/>
        </w:rPr>
      </w:pPr>
      <w:r>
        <w:rPr>
          <w:b/>
        </w:rPr>
        <w:t>Create Token</w:t>
      </w:r>
    </w:p>
    <w:p>
      <w:pPr>
        <w:pStyle w:val="ListParagraph"/>
        <w:rPr>
          <w:b/>
          <w:b/>
        </w:rPr>
      </w:pPr>
      <w:r>
        <w:rPr>
          <w:b/>
        </w:rPr>
      </w:r>
    </w:p>
    <w:p>
      <w:pPr>
        <w:pStyle w:val="ListParagraph"/>
        <w:numPr>
          <w:ilvl w:val="0"/>
          <w:numId w:val="4"/>
        </w:numPr>
        <w:rPr/>
      </w:pPr>
      <w:r>
        <w:rPr/>
        <w:t>Go under Create Token-&gt;‘Body’.</w:t>
      </w:r>
    </w:p>
    <w:p>
      <w:pPr>
        <w:pStyle w:val="ListParagraph"/>
        <w:numPr>
          <w:ilvl w:val="0"/>
          <w:numId w:val="4"/>
        </w:numPr>
        <w:rPr/>
      </w:pPr>
      <w:r>
        <w:rPr/>
        <w:t>The code copied from the previous step (Consent Creation / Paragraph 2 - Consent Creation, Step 8) must be inserted on the ‘code’ parameter.</w:t>
      </w:r>
    </w:p>
    <w:p>
      <w:pPr>
        <w:pStyle w:val="ListParagraph"/>
        <w:numPr>
          <w:ilvl w:val="0"/>
          <w:numId w:val="4"/>
        </w:numPr>
        <w:rPr/>
      </w:pPr>
      <w:r>
        <w:rPr/>
        <w:t xml:space="preserve">Reassure yourself to delete the cookies if there are any and click Send. </w:t>
      </w:r>
    </w:p>
    <w:p>
      <w:pPr>
        <w:pStyle w:val="Normal"/>
        <w:rPr/>
      </w:pPr>
      <w:r>
        <w:rPr/>
        <w:drawing>
          <wp:inline distT="0" distB="0" distL="0" distR="8890">
            <wp:extent cx="5725160" cy="3110865"/>
            <wp:effectExtent l="0" t="0" r="0" b="0"/>
            <wp:docPr id="8" name="Picture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0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b/>
          <w:b/>
        </w:rPr>
      </w:pPr>
      <w:r>
        <w:rPr>
          <w:b/>
        </w:rPr>
      </w:r>
    </w:p>
    <w:p>
      <w:pPr>
        <w:pStyle w:val="Normal"/>
        <w:rPr>
          <w:rFonts w:ascii="Calibri Light" w:hAnsi="Calibri Light" w:eastAsia="" w:cs="" w:asciiTheme="majorHAnsi" w:cstheme="majorBidi" w:eastAsiaTheme="majorEastAsia" w:hAnsiTheme="majorHAnsi"/>
          <w:b/>
          <w:b/>
          <w:color w:val="2F5496" w:themeColor="accent1" w:themeShade="bf"/>
          <w:sz w:val="32"/>
          <w:szCs w:val="32"/>
        </w:rPr>
      </w:pPr>
      <w:r>
        <w:rPr>
          <w:rFonts w:eastAsia="" w:cs="" w:cstheme="majorBidi" w:eastAsiaTheme="majorEastAsia" w:ascii="Calibri Light" w:hAnsi="Calibri Light"/>
          <w:b/>
          <w:color w:val="2F5496" w:themeColor="accent1" w:themeShade="bf"/>
          <w:sz w:val="32"/>
          <w:szCs w:val="32"/>
        </w:rPr>
      </w:r>
      <w:r>
        <w:br w:type="page"/>
      </w:r>
    </w:p>
    <w:p>
      <w:pPr>
        <w:pStyle w:val="Titolo1"/>
        <w:rPr/>
      </w:pPr>
      <w:bookmarkStart w:id="6" w:name="_Toc29911325"/>
      <w:r>
        <w:rPr/>
        <w:t>AISP FUNDS CONFIRMATION APIs</w:t>
      </w:r>
      <w:bookmarkEnd w:id="6"/>
    </w:p>
    <w:p>
      <w:pPr>
        <w:pStyle w:val="ListParagraph"/>
        <w:numPr>
          <w:ilvl w:val="0"/>
          <w:numId w:val="1"/>
        </w:numPr>
        <w:rPr>
          <w:b/>
          <w:b/>
        </w:rPr>
      </w:pPr>
      <w:r>
        <w:rPr>
          <w:b/>
        </w:rPr>
        <w:t>FC Create</w:t>
      </w:r>
    </w:p>
    <w:p>
      <w:pPr>
        <w:pStyle w:val="Normal"/>
        <w:ind w:left="360" w:hanging="0"/>
        <w:rPr/>
      </w:pPr>
      <w:r>
        <w:rPr/>
        <w:t>Under ‘Body’ the payload must be the same as on the Create Consent step, which means it is a variable specified on the Environment variables as: cbpiiPayload.</w:t>
      </w:r>
    </w:p>
    <w:p>
      <w:pPr>
        <w:pStyle w:val="Normal"/>
        <w:rPr/>
      </w:pPr>
      <w:r>
        <w:rPr/>
        <w:t>Delete cookies if there are any and click Send.</w:t>
      </w:r>
      <w:r>
        <w:rPr/>
        <w:drawing>
          <wp:inline distT="0" distB="5080" distL="0" distR="0">
            <wp:extent cx="5600700" cy="3042920"/>
            <wp:effectExtent l="0" t="0" r="0" b="0"/>
            <wp:docPr id="9" name="Picture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1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04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="0" w:after="160"/>
        <w:ind w:left="360" w:hanging="0"/>
        <w:rPr/>
      </w:pPr>
      <w:r>
        <w:rPr/>
        <w:t>FundsAvailable value might be true or false. In case of true, as shown in the above screenshot, it means there are available funds.</w:t>
      </w:r>
    </w:p>
    <w:sectPr>
      <w:type w:val="nextPage"/>
      <w:pgSz w:w="11906" w:h="16838"/>
      <w:pgMar w:left="1440" w:right="1440" w:header="0" w:top="1440" w:footer="0" w:bottom="1440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Calibri Light">
    <w:charset w:val="00"/>
    <w:family w:val="roman"/>
    <w:pitch w:val="variable"/>
  </w:font>
  <w:font w:name="Segoe UI"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Helvetica">
    <w:altName w:val="Arial"/>
    <w:charset w:val="00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w="http://schemas.openxmlformats.org/wordprocessingml/2006/main">
  <w:zoom w:percent="200"/>
  <w:defaultTabStop w:val="720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en-GB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en-GB" w:eastAsia="en-US" w:bidi="ar-SA"/>
      </w:rPr>
    </w:rPrDefault>
    <w:pPrDefault>
      <w:pPr/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rsid w:val="00ac6cde"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en-GB" w:eastAsia="en-US" w:bidi="ar-SA"/>
    </w:rPr>
  </w:style>
  <w:style w:type="paragraph" w:styleId="Titolo1">
    <w:name w:val="Heading 1"/>
    <w:basedOn w:val="Normal"/>
    <w:next w:val="Normal"/>
    <w:link w:val="Heading1Char"/>
    <w:uiPriority w:val="9"/>
    <w:qFormat/>
    <w:rsid w:val="00d767d5"/>
    <w:pPr>
      <w:keepNext w:val="true"/>
      <w:keepLines/>
      <w:spacing w:before="24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color w:val="2F5496" w:themeColor="accent1" w:themeShade="bf"/>
      <w:sz w:val="32"/>
      <w:szCs w:val="32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BalloonTextChar" w:customStyle="1">
    <w:name w:val="Balloon Text Char"/>
    <w:basedOn w:val="DefaultParagraphFont"/>
    <w:link w:val="BalloonText"/>
    <w:uiPriority w:val="99"/>
    <w:semiHidden/>
    <w:qFormat/>
    <w:rsid w:val="005b6461"/>
    <w:rPr>
      <w:rFonts w:ascii="Segoe UI" w:hAnsi="Segoe UI" w:cs="Segoe UI"/>
      <w:sz w:val="18"/>
      <w:szCs w:val="18"/>
    </w:rPr>
  </w:style>
  <w:style w:type="character" w:styleId="Environmentpreviewlistitemkey" w:customStyle="1">
    <w:name w:val="environment-preview-list-item__key"/>
    <w:basedOn w:val="DefaultParagraphFont"/>
    <w:qFormat/>
    <w:rsid w:val="009a27f9"/>
    <w:rPr/>
  </w:style>
  <w:style w:type="character" w:styleId="Heading1Char" w:customStyle="1">
    <w:name w:val="Heading 1 Char"/>
    <w:basedOn w:val="DefaultParagraphFont"/>
    <w:link w:val="Heading1"/>
    <w:uiPriority w:val="9"/>
    <w:qFormat/>
    <w:rsid w:val="00d767d5"/>
    <w:rPr>
      <w:rFonts w:ascii="Calibri Light" w:hAnsi="Calibri Light" w:eastAsia="" w:cs="" w:asciiTheme="majorHAnsi" w:cstheme="majorBidi" w:eastAsiaTheme="majorEastAsia" w:hAnsiTheme="majorHAnsi"/>
      <w:b/>
      <w:color w:val="2F5496" w:themeColor="accent1" w:themeShade="bf"/>
      <w:sz w:val="32"/>
      <w:szCs w:val="32"/>
    </w:rPr>
  </w:style>
  <w:style w:type="character" w:styleId="TitleChar" w:customStyle="1">
    <w:name w:val="Title Char"/>
    <w:basedOn w:val="DefaultParagraphFont"/>
    <w:link w:val="Title"/>
    <w:uiPriority w:val="10"/>
    <w:qFormat/>
    <w:rsid w:val="007c3d9d"/>
    <w:rPr>
      <w:rFonts w:ascii="Calibri Light" w:hAnsi="Calibri Light" w:eastAsia="" w:cs="" w:asciiTheme="majorHAnsi" w:cstheme="majorBidi" w:eastAsiaTheme="majorEastAsia" w:hAnsiTheme="majorHAnsi"/>
      <w:spacing w:val="-10"/>
      <w:kern w:val="2"/>
      <w:sz w:val="56"/>
      <w:szCs w:val="56"/>
    </w:rPr>
  </w:style>
  <w:style w:type="character" w:styleId="CollegamentoInternet">
    <w:name w:val="Collegamento Internet"/>
    <w:basedOn w:val="DefaultParagraphFont"/>
    <w:uiPriority w:val="99"/>
    <w:unhideWhenUsed/>
    <w:rsid w:val="00d767d5"/>
    <w:rPr>
      <w:color w:val="0563C1" w:themeColor="hyperlink"/>
      <w:u w:val="single"/>
    </w:rPr>
  </w:style>
  <w:style w:type="character" w:styleId="Saltoaindice">
    <w:name w:val="Salto a indice"/>
    <w:qFormat/>
    <w:rPr/>
  </w:style>
  <w:style w:type="paragraph" w:styleId="Titolo">
    <w:name w:val="Titolo"/>
    <w:basedOn w:val="Normal"/>
    <w:next w:val="Corpodeltesto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orpodeltesto">
    <w:name w:val="Body Text"/>
    <w:basedOn w:val="Normal"/>
    <w:pPr>
      <w:spacing w:lineRule="auto" w:line="276" w:before="0" w:after="140"/>
    </w:pPr>
    <w:rPr/>
  </w:style>
  <w:style w:type="paragraph" w:styleId="Elenco">
    <w:name w:val="List"/>
    <w:basedOn w:val="Corpodeltesto"/>
    <w:pPr/>
    <w:rPr>
      <w:rFonts w:cs="Arial"/>
    </w:rPr>
  </w:style>
  <w:style w:type="paragraph" w:styleId="Didascalia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ice">
    <w:name w:val="Indice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ac6cde"/>
    <w:pPr>
      <w:spacing w:before="0" w:after="160"/>
      <w:ind w:left="720" w:hanging="0"/>
      <w:contextualSpacing/>
    </w:pPr>
    <w:rPr/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5b6461"/>
    <w:pPr>
      <w:spacing w:lineRule="auto" w:line="240" w:before="0" w:after="0"/>
    </w:pPr>
    <w:rPr>
      <w:rFonts w:ascii="Segoe UI" w:hAnsi="Segoe UI" w:cs="Segoe UI"/>
      <w:sz w:val="18"/>
      <w:szCs w:val="18"/>
    </w:rPr>
  </w:style>
  <w:style w:type="paragraph" w:styleId="Titoloprincipale">
    <w:name w:val="Title"/>
    <w:basedOn w:val="Normal"/>
    <w:next w:val="Normal"/>
    <w:link w:val="TitleChar"/>
    <w:uiPriority w:val="10"/>
    <w:qFormat/>
    <w:rsid w:val="007c3d9d"/>
    <w:pPr>
      <w:spacing w:lineRule="auto" w:line="240" w:before="0" w:after="0"/>
      <w:contextualSpacing/>
    </w:pPr>
    <w:rPr>
      <w:rFonts w:ascii="Calibri Light" w:hAnsi="Calibri Light" w:eastAsia="" w:cs="" w:asciiTheme="majorHAnsi" w:cstheme="majorBidi" w:eastAsiaTheme="majorEastAsia" w:hAnsiTheme="majorHAnsi"/>
      <w:spacing w:val="-10"/>
      <w:kern w:val="2"/>
      <w:sz w:val="56"/>
      <w:szCs w:val="56"/>
    </w:rPr>
  </w:style>
  <w:style w:type="paragraph" w:styleId="TOCHeading">
    <w:name w:val="TOC Heading"/>
    <w:basedOn w:val="Titolo1"/>
    <w:next w:val="Normal"/>
    <w:uiPriority w:val="39"/>
    <w:unhideWhenUsed/>
    <w:qFormat/>
    <w:rsid w:val="00d767d5"/>
    <w:pPr/>
    <w:rPr>
      <w:b w:val="false"/>
      <w:lang w:val="en-US"/>
    </w:rPr>
  </w:style>
  <w:style w:type="paragraph" w:styleId="Indice1">
    <w:name w:val="TOC 1"/>
    <w:basedOn w:val="Normal"/>
    <w:next w:val="Normal"/>
    <w:autoRedefine/>
    <w:uiPriority w:val="39"/>
    <w:unhideWhenUsed/>
    <w:rsid w:val="00d767d5"/>
    <w:pPr>
      <w:spacing w:before="0" w:after="100"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numbering" Target="numbering.xml"/><Relationship Id="rId12" Type="http://schemas.openxmlformats.org/officeDocument/2006/relationships/fontTable" Target="fontTable.xml"/><Relationship Id="rId13" Type="http://schemas.openxmlformats.org/officeDocument/2006/relationships/settings" Target="settings.xml"/><Relationship Id="rId14" Type="http://schemas.openxmlformats.org/officeDocument/2006/relationships/theme" Target="theme/theme1.xml"/><Relationship Id="rId15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EE81F1-B41E-4428-B3C8-531FE30183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</TotalTime>
  <Application>LibreOffice/6.0.5.2$Windows_X86_64 LibreOffice_project/54c8cbb85f300ac59db32fe8a675ff7683cd5a16</Application>
  <Pages>8</Pages>
  <Words>502</Words>
  <Characters>2486</Characters>
  <CharactersWithSpaces>2952</CharactersWithSpaces>
  <Paragraphs>48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2020-01-13T12:29:00Z</dcterms:created>
  <dc:creator>Pironada Nako</dc:creator>
  <dc:description/>
  <dc:language>it-IT</dc:language>
  <cp:lastModifiedBy/>
  <dcterms:modified xsi:type="dcterms:W3CDTF">2020-01-15T17:26:44Z</dcterms:modified>
  <cp:revision>28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