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png" ContentType="image/png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10.png" ContentType="image/png"/>
  <Override PartName="/word/media/image11.png" ContentType="image/png"/>
  <Override PartName="/word/media/image12.png" ContentType="image/png"/>
  <Override PartName="/word/media/image13.png" ContentType="image/png"/>
  <Override PartName="/word/media/image14.png" ContentType="image/png"/>
  <Override PartName="/word/media/image15.png" ContentType="image/png"/>
  <Override PartName="/word/media/image16.png" ContentType="image/png"/>
  <Override PartName="/word/media/image17.png" ContentType="image/png"/>
  <Override PartName="/word/media/image18.png" ContentType="image/png"/>
  <Override PartName="/word/media/image19.png" ContentType="image/png"/>
  <Override PartName="/word/media/image20.png" ContentType="image/png"/>
  <Override PartName="/word/media/image21.png" ContentType="image/png"/>
  <Override PartName="/word/media/image22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itoloprincipale"/>
        <w:jc w:val="center"/>
        <w:rPr>
          <w:b/>
          <w:b/>
          <w:sz w:val="72"/>
        </w:rPr>
      </w:pPr>
      <w:r>
        <w:rPr>
          <w:b/>
          <w:sz w:val="72"/>
          <w:shd w:fill="FFFFFF" w:val="clear"/>
        </w:rPr>
        <w:t xml:space="preserve">TPP Testing </w:t>
      </w:r>
      <w:r>
        <w:rPr>
          <w:b/>
          <w:sz w:val="72"/>
        </w:rPr>
        <w:t>Guide</w:t>
      </w:r>
      <w:bookmarkStart w:id="0" w:name="_GoBack"/>
      <w:bookmarkEnd w:id="0"/>
    </w:p>
    <w:p>
      <w:pPr>
        <w:pStyle w:val="Titoloprincipale"/>
        <w:jc w:val="center"/>
        <w:rPr>
          <w:b/>
          <w:b/>
          <w:sz w:val="52"/>
          <w:highlight w:val="white"/>
        </w:rPr>
      </w:pPr>
      <w:r>
        <w:rPr>
          <w:b/>
          <w:sz w:val="52"/>
          <w:shd w:fill="FFFFFF" w:val="clear"/>
        </w:rPr>
        <w:t>PISP (Payment Initiation Service Providers)</w:t>
      </w:r>
    </w:p>
    <w:p>
      <w:pPr>
        <w:pStyle w:val="Normal"/>
        <w:rPr/>
      </w:pPr>
      <w:r>
        <w:rPr/>
      </w:r>
    </w:p>
    <w:sdt>
      <w:sdtPr>
        <w:docPartObj>
          <w:docPartGallery w:val="Table of Contents"/>
          <w:docPartUnique w:val="true"/>
        </w:docPartObj>
        <w:id w:val="28837980"/>
      </w:sdtPr>
      <w:sdtContent>
        <w:p>
          <w:pPr>
            <w:pStyle w:val="TOCHeading"/>
            <w:rPr/>
          </w:pPr>
          <w:bookmarkStart w:id="1" w:name="_Toc29909769"/>
          <w:r>
            <w:rPr/>
            <w:t>Contents</w:t>
          </w:r>
        </w:p>
        <w:p>
          <w:pPr>
            <w:pStyle w:val="Indice1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r>
            <w:fldChar w:fldCharType="begin"/>
          </w:r>
          <w:r>
            <w:rPr>
              <w:webHidden/>
              <w:rStyle w:val="Saltoaindice"/>
            </w:rPr>
            <w:instrText> TOC \z \o "1-3" \u \h</w:instrText>
          </w:r>
          <w:r>
            <w:rPr>
              <w:webHidden/>
              <w:rStyle w:val="Saltoaindice"/>
            </w:rPr>
            <w:fldChar w:fldCharType="separate"/>
          </w:r>
          <w:hyperlink w:anchor="_Toc29910853">
            <w:r>
              <w:rPr>
                <w:webHidden/>
                <w:rStyle w:val="Saltoaindice"/>
              </w:rPr>
              <w:t>ENVIRONMENT VARIABLES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_Toc29910853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1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0854">
            <w:r>
              <w:rPr>
                <w:webHidden/>
                <w:rStyle w:val="Saltoaindice"/>
              </w:rPr>
              <w:t>COOKIES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_Toc29910854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1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0855">
            <w:r>
              <w:rPr>
                <w:webHidden/>
                <w:rStyle w:val="Saltoaindice"/>
              </w:rPr>
              <w:t>PISP DOMESTIC PAYMENT APIs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_Toc29910855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3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2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0856">
            <w:r>
              <w:rPr>
                <w:webHidden/>
                <w:rStyle w:val="Saltoaindice"/>
              </w:rPr>
              <w:t>CONSENT CREATION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_Toc29910856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3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2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0857">
            <w:r>
              <w:rPr>
                <w:webHidden/>
                <w:rStyle w:val="Saltoaindice"/>
              </w:rPr>
              <w:t>TOKEN GENERATION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_Toc29910857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2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0858">
            <w:r>
              <w:rPr>
                <w:webHidden/>
                <w:rStyle w:val="Saltoaindice"/>
              </w:rPr>
              <w:t>DOMESTIC PAYMENT APIs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_Toc29910858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8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1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0859">
            <w:r>
              <w:rPr>
                <w:webHidden/>
                <w:rStyle w:val="Saltoaindice"/>
              </w:rPr>
              <w:t>PISP INTERNATIONAL PAYMENT APIs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_Toc29910859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10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2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0860">
            <w:r>
              <w:rPr>
                <w:webHidden/>
                <w:rStyle w:val="Saltoaindice"/>
              </w:rPr>
              <w:t>CONSENT CREATION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_Toc29910860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10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2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0861">
            <w:r>
              <w:rPr>
                <w:webHidden/>
                <w:rStyle w:val="Saltoaindice"/>
              </w:rPr>
              <w:t>TOKEN GENERATION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_Toc29910861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14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2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0862">
            <w:r>
              <w:rPr>
                <w:webHidden/>
                <w:rStyle w:val="Saltoaindice"/>
              </w:rPr>
              <w:t>INTERNATIONAL PAYMENT APIs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_Toc29910862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15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Normal"/>
            <w:rPr/>
          </w:pPr>
          <w:r>
            <w:rPr/>
          </w:r>
          <w:r>
            <w:rPr/>
            <w:fldChar w:fldCharType="end"/>
          </w:r>
        </w:p>
      </w:sdtContent>
    </w:sdt>
    <w:p>
      <w:pPr>
        <w:pStyle w:val="Normal"/>
        <w:rPr>
          <w:rFonts w:ascii="Calibri Light" w:hAnsi="Calibri Light" w:eastAsia="" w:cs="" w:asciiTheme="majorHAnsi" w:cstheme="majorBidi" w:eastAsiaTheme="majorEastAsia" w:hAnsiTheme="majorHAnsi"/>
          <w:b/>
          <w:b/>
          <w:color w:val="2F5496" w:themeColor="accent1" w:themeShade="bf"/>
          <w:sz w:val="32"/>
          <w:szCs w:val="32"/>
        </w:rPr>
      </w:pPr>
      <w:r>
        <w:rPr>
          <w:rFonts w:eastAsia="" w:cs="" w:cstheme="majorBidi" w:eastAsiaTheme="majorEastAsia" w:ascii="Calibri Light" w:hAnsi="Calibri Light"/>
          <w:b/>
          <w:color w:val="2F5496" w:themeColor="accent1" w:themeShade="bf"/>
          <w:sz w:val="32"/>
          <w:szCs w:val="32"/>
        </w:rPr>
      </w:r>
      <w:r>
        <w:br w:type="page"/>
      </w:r>
    </w:p>
    <w:p>
      <w:pPr>
        <w:pStyle w:val="Titolo1"/>
        <w:rPr/>
      </w:pPr>
      <w:bookmarkStart w:id="2" w:name="_Toc29909769"/>
      <w:bookmarkStart w:id="3" w:name="_Toc29910853"/>
      <w:r>
        <w:rPr/>
        <w:t>ENVIRONMENT VARIABLES</w:t>
      </w:r>
      <w:bookmarkEnd w:id="2"/>
      <w:bookmarkEnd w:id="3"/>
      <w:r>
        <w:rPr/>
        <w:t xml:space="preserve">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The following environment variables must be set in the beginning:</w:t>
      </w:r>
    </w:p>
    <w:p>
      <w:pPr>
        <w:pStyle w:val="Normal"/>
        <w:rPr/>
      </w:pPr>
      <w:r>
        <w:rPr>
          <w:b/>
        </w:rPr>
        <w:t>Host</w:t>
      </w:r>
      <w:r>
        <w:rPr/>
        <w:t xml:space="preserve"> – IP of the host with the port number</w:t>
      </w:r>
    </w:p>
    <w:p>
      <w:pPr>
        <w:pStyle w:val="Normal"/>
        <w:rPr/>
      </w:pPr>
      <w:r>
        <w:rPr>
          <w:rFonts w:cs="Calibri" w:cstheme="minorHAnsi"/>
          <w:b/>
          <w:shd w:fill="FFFFFF" w:val="clear"/>
        </w:rPr>
        <w:t>clientIdPay</w:t>
      </w:r>
      <w:r>
        <w:rPr/>
        <w:t xml:space="preserve"> – specific to TPP (this is a generated ID inside OBDX when a new client – TPP – is registered by the bank)</w:t>
      </w:r>
    </w:p>
    <w:p>
      <w:pPr>
        <w:pStyle w:val="Normal"/>
        <w:rPr/>
      </w:pPr>
      <w:r>
        <w:rPr>
          <w:rFonts w:cs="Calibri" w:cstheme="minorHAnsi"/>
          <w:b/>
          <w:shd w:fill="FFFFFF" w:val="clear"/>
        </w:rPr>
        <w:t>clientPassPay</w:t>
      </w:r>
      <w:r>
        <w:rPr/>
        <w:t xml:space="preserve"> – specific to TPP (this is a generated password inside OBDX when a new client – TPP – is registered by the bank)</w:t>
      </w:r>
    </w:p>
    <w:p>
      <w:pPr>
        <w:pStyle w:val="Normal"/>
        <w:rPr/>
      </w:pPr>
      <w:r>
        <w:rPr>
          <w:b/>
        </w:rPr>
        <w:t>redirect_uri</w:t>
      </w:r>
      <w:r>
        <w:rPr/>
        <w:t xml:space="preserve"> – the TPP where the Oracle Banking API should respond the information from the application itself</w:t>
      </w:r>
    </w:p>
    <w:p>
      <w:pPr>
        <w:pStyle w:val="Normal"/>
        <w:rPr/>
      </w:pPr>
      <w:r>
        <w:rPr>
          <w:b/>
        </w:rPr>
        <w:t>paymentsScope</w:t>
      </w:r>
      <w:r>
        <w:rPr/>
        <w:t xml:space="preserve"> – set it as ‘payments’</w:t>
      </w:r>
    </w:p>
    <w:p>
      <w:pPr>
        <w:pStyle w:val="Normal"/>
        <w:rPr/>
      </w:pPr>
      <w:r>
        <w:rPr>
          <w:b/>
        </w:rPr>
        <w:t>apiKey</w:t>
      </w:r>
      <w:r>
        <w:rPr/>
        <w:t xml:space="preserve"> – must be sent on all requests,</w:t>
      </w:r>
      <w:r>
        <w:rPr/>
        <w:t xml:space="preserve"> obtained in https://portal.cabel.it/admin/app/api-explorer</w:t>
      </w:r>
    </w:p>
    <w:p>
      <w:pPr>
        <w:pStyle w:val="Normal"/>
        <w:rPr/>
      </w:pPr>
      <w:r>
        <w:rPr/>
      </w:r>
    </w:p>
    <w:p>
      <w:pPr>
        <w:pStyle w:val="Titolo1"/>
        <w:rPr/>
      </w:pPr>
      <w:bookmarkStart w:id="4" w:name="_Toc29910854"/>
      <w:bookmarkStart w:id="5" w:name="_Toc29909770"/>
      <w:bookmarkStart w:id="6" w:name="_Toc29909731"/>
      <w:r>
        <w:drawing>
          <wp:anchor behindDoc="0" distT="0" distB="7620" distL="114300" distR="118745" simplePos="0" locked="0" layoutInCell="1" allowOverlap="1" relativeHeight="2">
            <wp:simplePos x="0" y="0"/>
            <wp:positionH relativeFrom="column">
              <wp:posOffset>4144645</wp:posOffset>
            </wp:positionH>
            <wp:positionV relativeFrom="paragraph">
              <wp:posOffset>170815</wp:posOffset>
            </wp:positionV>
            <wp:extent cx="414655" cy="354330"/>
            <wp:effectExtent l="0" t="0" r="0" b="0"/>
            <wp:wrapSquare wrapText="bothSides"/>
            <wp:docPr id="1" name="Picture 1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6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C</w:t>
      </w:r>
      <w:r>
        <w:rPr/>
        <w:t>OOKIES</w:t>
      </w:r>
      <w:bookmarkEnd w:id="4"/>
      <w:bookmarkEnd w:id="5"/>
      <w:bookmarkEnd w:id="6"/>
      <w:r>
        <w:rPr/>
        <w:t xml:space="preserve"> </w:t>
      </w:r>
    </w:p>
    <w:p>
      <w:pPr>
        <w:pStyle w:val="Normal"/>
        <w:rPr/>
      </w:pPr>
      <w:r>
        <w:rPr/>
        <w:t xml:space="preserve">In every step we must be sure that all the </w:t>
      </w:r>
      <w:r>
        <w:rPr>
          <w:b/>
        </w:rPr>
        <w:t>cookies</w:t>
      </w:r>
      <w:r>
        <w:rPr/>
        <w:t xml:space="preserve"> have been </w:t>
      </w:r>
      <w:r>
        <w:rPr>
          <w:b/>
        </w:rPr>
        <w:t>deleted</w:t>
      </w:r>
      <w:r>
        <w:rPr/>
        <w:t>.</w:t>
      </w:r>
    </w:p>
    <w:p>
      <w:pPr>
        <w:pStyle w:val="Normal"/>
        <w:rPr>
          <w:b/>
          <w:b/>
        </w:rPr>
      </w:pPr>
      <w:r>
        <w:rPr>
          <w:b/>
        </w:rPr>
      </w:r>
      <w:r>
        <w:br w:type="page"/>
      </w:r>
    </w:p>
    <w:p>
      <w:pPr>
        <w:pStyle w:val="Titolo1"/>
        <w:rPr/>
      </w:pPr>
      <w:bookmarkStart w:id="7" w:name="_Toc29910855"/>
      <w:r>
        <w:rPr/>
        <w:t>PISP DOMESTIC PAYMENT APIs</w:t>
      </w:r>
      <w:bookmarkEnd w:id="7"/>
    </w:p>
    <w:p>
      <w:pPr>
        <w:pStyle w:val="Titolo2"/>
        <w:rPr/>
      </w:pPr>
      <w:bookmarkStart w:id="8" w:name="_Toc29910856"/>
      <w:r>
        <w:rPr/>
        <w:t>CONSENT CREATION</w:t>
      </w:r>
      <w:bookmarkEnd w:id="8"/>
    </w:p>
    <w:p>
      <w:pPr>
        <w:pStyle w:val="ListParagraph"/>
        <w:numPr>
          <w:ilvl w:val="0"/>
          <w:numId w:val="1"/>
        </w:numPr>
        <w:rPr>
          <w:b/>
          <w:b/>
        </w:rPr>
      </w:pPr>
      <w:r>
        <w:rPr>
          <w:b/>
        </w:rPr>
        <w:t>Client Credentials Access Token to Create Consent</w:t>
      </w:r>
    </w:p>
    <w:p>
      <w:pPr>
        <w:pStyle w:val="ListParagraph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2"/>
        </w:numPr>
        <w:rPr/>
      </w:pPr>
      <w:r>
        <w:rPr/>
        <w:t xml:space="preserve">Username is the </w:t>
      </w:r>
      <w:r>
        <w:rPr>
          <w:rFonts w:cs="Calibri" w:cstheme="minorHAnsi"/>
          <w:shd w:fill="FFFFFF" w:val="clear"/>
        </w:rPr>
        <w:t>clientIdPay</w:t>
      </w:r>
      <w:r>
        <w:rPr/>
        <w:t xml:space="preserve"> and the Password is the </w:t>
      </w:r>
      <w:r>
        <w:rPr>
          <w:rFonts w:cs="Calibri" w:cstheme="minorHAnsi"/>
          <w:shd w:fill="FFFFFF" w:val="clear"/>
        </w:rPr>
        <w:t>clientPassPay</w:t>
      </w:r>
      <w:r>
        <w:rPr/>
        <w:t xml:space="preserve"> earlier specified in the collection’s environment.</w:t>
      </w:r>
    </w:p>
    <w:p>
      <w:pPr>
        <w:pStyle w:val="ListParagraph"/>
        <w:numPr>
          <w:ilvl w:val="0"/>
          <w:numId w:val="2"/>
        </w:numPr>
        <w:rPr/>
      </w:pPr>
      <w:r>
        <w:rPr/>
        <w:t>Click on Send.</w:t>
      </w:r>
    </w:p>
    <w:p>
      <w:pPr>
        <w:pStyle w:val="ListParagraph"/>
        <w:numPr>
          <w:ilvl w:val="0"/>
          <w:numId w:val="2"/>
        </w:numPr>
        <w:rPr/>
      </w:pPr>
      <w:r>
        <w:rPr/>
        <w:t>This is the response provided. Inside there is an access token which will be later used for the call of Consent permission.</w:t>
      </w:r>
    </w:p>
    <w:p>
      <w:pPr>
        <w:pStyle w:val="ListParagraph"/>
        <w:rPr/>
      </w:pPr>
      <w:r>
        <w:rPr/>
      </w:r>
    </w:p>
    <w:p>
      <w:pPr>
        <w:pStyle w:val="Normal"/>
        <w:rPr/>
      </w:pPr>
      <w:r>
        <w:rPr/>
        <w:drawing>
          <wp:inline distT="0" distB="4445" distL="0" distR="8890">
            <wp:extent cx="5725160" cy="3100705"/>
            <wp:effectExtent l="0" t="0" r="0" b="0"/>
            <wp:docPr id="2" name="Pictur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0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b/>
          <w:b/>
        </w:rPr>
      </w:pPr>
      <w:r>
        <w:rPr>
          <w:b/>
        </w:rPr>
      </w:r>
      <w:r>
        <w:br w:type="page"/>
      </w:r>
    </w:p>
    <w:p>
      <w:pPr>
        <w:pStyle w:val="ListParagraph"/>
        <w:numPr>
          <w:ilvl w:val="0"/>
          <w:numId w:val="1"/>
        </w:numPr>
        <w:rPr>
          <w:b/>
          <w:b/>
        </w:rPr>
      </w:pPr>
      <w:r>
        <w:rPr>
          <w:b/>
        </w:rPr>
        <w:t>Create Consent</w:t>
      </w:r>
    </w:p>
    <w:p>
      <w:pPr>
        <w:pStyle w:val="ListParagraph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7"/>
        </w:numPr>
        <w:rPr/>
      </w:pPr>
      <w:r>
        <w:rPr/>
        <w:t xml:space="preserve">Under ‘Body-&gt;raw’, </w:t>
      </w:r>
      <w:r>
        <w:rPr>
          <w:b/>
        </w:rPr>
        <w:t>always</w:t>
      </w:r>
      <w:r>
        <w:rPr/>
        <w:t xml:space="preserve"> set the ExpirationDateTime in the </w:t>
      </w:r>
      <w:r>
        <w:rPr>
          <w:b/>
        </w:rPr>
        <w:t>future</w:t>
      </w:r>
      <w:r>
        <w:rPr/>
        <w:t xml:space="preserve">. </w:t>
      </w:r>
    </w:p>
    <w:p>
      <w:pPr>
        <w:pStyle w:val="ListParagraph"/>
        <w:numPr>
          <w:ilvl w:val="0"/>
          <w:numId w:val="7"/>
        </w:numPr>
        <w:rPr/>
      </w:pPr>
      <w:r>
        <w:rPr/>
        <w:t>The InstructedAmount/Amount is the amount that will be transferred to the Beneficiary (Crediting Amount)</w:t>
      </w:r>
    </w:p>
    <w:p>
      <w:pPr>
        <w:pStyle w:val="ListParagraph"/>
        <w:numPr>
          <w:ilvl w:val="0"/>
          <w:numId w:val="7"/>
        </w:numPr>
        <w:rPr/>
      </w:pPr>
      <w:r>
        <w:rPr/>
        <w:t>The InstructedAmount/Currency is the currency to which the Beneficiary will receive the amount (Crediting Currency)</w:t>
      </w:r>
    </w:p>
    <w:p>
      <w:pPr>
        <w:pStyle w:val="ListParagraph"/>
        <w:numPr>
          <w:ilvl w:val="0"/>
          <w:numId w:val="7"/>
        </w:numPr>
        <w:rPr/>
      </w:pPr>
      <w:r>
        <w:rPr/>
        <w:t>The CreditorAccount/Identification is the Beneficiary account (Creditor Account in the SWIFT format). The beneficiary account number should be preceded by 9 zeros.</w:t>
      </w:r>
    </w:p>
    <w:p>
      <w:pPr>
        <w:pStyle w:val="ListParagraph"/>
        <w:numPr>
          <w:ilvl w:val="0"/>
          <w:numId w:val="7"/>
        </w:numPr>
        <w:rPr/>
      </w:pPr>
      <w:r>
        <w:rPr/>
        <w:t xml:space="preserve">The data in the ‘Body’ part must remain the same even in the Payment Creation(APIs/Payments Creation). </w:t>
      </w:r>
    </w:p>
    <w:p>
      <w:pPr>
        <w:pStyle w:val="ListParagraph"/>
        <w:numPr>
          <w:ilvl w:val="0"/>
          <w:numId w:val="7"/>
        </w:numPr>
        <w:rPr/>
      </w:pPr>
      <w:r>
        <w:rPr/>
        <w:t>Click Send.</w:t>
      </w:r>
    </w:p>
    <w:p>
      <w:pPr>
        <w:pStyle w:val="ListParagraph"/>
        <w:rPr>
          <w:b/>
          <w:b/>
        </w:rPr>
      </w:pPr>
      <w:r>
        <w:rPr>
          <w:b/>
        </w:rPr>
      </w:r>
    </w:p>
    <w:p>
      <w:pPr>
        <w:pStyle w:val="Normal"/>
        <w:rPr/>
      </w:pPr>
      <w:r>
        <w:rPr/>
        <w:drawing>
          <wp:inline distT="0" distB="635" distL="0" distR="8890">
            <wp:extent cx="5725160" cy="2266315"/>
            <wp:effectExtent l="0" t="0" r="0" b="0"/>
            <wp:docPr id="3" name="Picture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226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ListParagraph"/>
        <w:numPr>
          <w:ilvl w:val="0"/>
          <w:numId w:val="7"/>
        </w:numPr>
        <w:rPr/>
      </w:pPr>
      <w:r>
        <w:rPr/>
        <w:t xml:space="preserve">Under ‘Test results’ a link will be generated. </w:t>
      </w:r>
    </w:p>
    <w:p>
      <w:pPr>
        <w:pStyle w:val="ListParagraph"/>
        <w:tabs>
          <w:tab w:val="left" w:pos="0" w:leader="none"/>
        </w:tabs>
        <w:ind w:left="0" w:hanging="0"/>
        <w:rPr/>
      </w:pPr>
      <w:r>
        <w:rPr/>
        <w:drawing>
          <wp:inline distT="0" distB="0" distL="0" distR="8890">
            <wp:extent cx="5725160" cy="3110865"/>
            <wp:effectExtent l="0" t="0" r="0" b="0"/>
            <wp:docPr id="4" name="Picture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ListParagraph"/>
        <w:numPr>
          <w:ilvl w:val="0"/>
          <w:numId w:val="7"/>
        </w:numPr>
        <w:rPr/>
      </w:pPr>
      <w:r>
        <w:rPr/>
        <w:t xml:space="preserve">Copy the link and paste the above link in a browser. Confirm that the port number is the one of OBDX internet application call it. </w:t>
      </w:r>
    </w:p>
    <w:p>
      <w:pPr>
        <w:pStyle w:val="ListParagraph"/>
        <w:rPr/>
      </w:pPr>
      <w:r>
        <w:rPr/>
      </w:r>
    </w:p>
    <w:p>
      <w:pPr>
        <w:pStyle w:val="ListParagraph"/>
        <w:ind w:left="0" w:hanging="0"/>
        <w:rPr/>
      </w:pPr>
      <w:r>
        <w:rPr/>
        <w:drawing>
          <wp:inline distT="0" distB="0" distL="0" distR="8890">
            <wp:extent cx="5725160" cy="3091180"/>
            <wp:effectExtent l="0" t="0" r="0" b="0"/>
            <wp:docPr id="5" name="Picture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6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09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/>
      </w:pPr>
      <w:r>
        <w:rPr/>
      </w:r>
    </w:p>
    <w:p>
      <w:pPr>
        <w:pStyle w:val="ListParagraph"/>
        <w:numPr>
          <w:ilvl w:val="0"/>
          <w:numId w:val="7"/>
        </w:numPr>
        <w:rPr/>
      </w:pPr>
      <w:r>
        <w:rPr/>
        <w:t>This link redirects to a login page where should be provided the credentials of the specific user. By user it’s meant the bank’s customer to which the TPP is requesting access toward resources.</w:t>
      </w:r>
    </w:p>
    <w:p>
      <w:pPr>
        <w:pStyle w:val="Normal"/>
        <w:rPr/>
      </w:pPr>
      <w:r>
        <w:rPr/>
        <w:drawing>
          <wp:inline distT="0" distB="4445" distL="0" distR="8890">
            <wp:extent cx="5725160" cy="3100705"/>
            <wp:effectExtent l="0" t="0" r="0" b="0"/>
            <wp:docPr id="6" name="Picture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7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0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ind w:left="360" w:hanging="0"/>
        <w:rPr/>
      </w:pPr>
      <w:r>
        <w:rPr/>
      </w:r>
    </w:p>
    <w:p>
      <w:pPr>
        <w:pStyle w:val="Normal"/>
        <w:ind w:left="360" w:hanging="0"/>
        <w:rPr/>
      </w:pPr>
      <w:r>
        <w:rPr/>
      </w:r>
    </w:p>
    <w:p>
      <w:pPr>
        <w:pStyle w:val="Normal"/>
        <w:ind w:left="360" w:hanging="0"/>
        <w:rPr/>
      </w:pPr>
      <w:r>
        <w:rPr/>
      </w:r>
    </w:p>
    <w:p>
      <w:pPr>
        <w:pStyle w:val="Normal"/>
        <w:ind w:left="360" w:hanging="0"/>
        <w:rPr/>
      </w:pPr>
      <w:r>
        <w:rPr/>
      </w:r>
    </w:p>
    <w:p>
      <w:pPr>
        <w:pStyle w:val="Normal"/>
        <w:ind w:left="360" w:hanging="0"/>
        <w:rPr/>
      </w:pPr>
      <w:r>
        <w:rPr/>
      </w:r>
    </w:p>
    <w:p>
      <w:pPr>
        <w:pStyle w:val="ListParagraph"/>
        <w:numPr>
          <w:ilvl w:val="0"/>
          <w:numId w:val="7"/>
        </w:numPr>
        <w:rPr/>
      </w:pPr>
      <w:r>
        <w:rPr/>
        <w:t xml:space="preserve">The customer should give access to any of the following accounts by checking them and confirming. </w:t>
      </w:r>
    </w:p>
    <w:p>
      <w:pPr>
        <w:pStyle w:val="Normal"/>
        <w:rPr/>
      </w:pPr>
      <w:r>
        <w:rPr/>
      </w:r>
    </w:p>
    <w:p>
      <w:pPr>
        <w:pStyle w:val="ListParagraph"/>
        <w:ind w:left="0" w:hanging="0"/>
        <w:rPr/>
      </w:pPr>
      <w:r>
        <w:rPr/>
        <w:drawing>
          <wp:inline distT="0" distB="0" distL="0" distR="8890">
            <wp:extent cx="5725160" cy="3091180"/>
            <wp:effectExtent l="0" t="0" r="0" b="0"/>
            <wp:docPr id="7" name="Picture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8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09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ListParagraph"/>
        <w:numPr>
          <w:ilvl w:val="0"/>
          <w:numId w:val="7"/>
        </w:numPr>
        <w:rPr/>
      </w:pPr>
      <w:r>
        <w:rPr/>
        <w:t>OBDX will forward the confirmation code to the TPP redirect_uri previously specified. As for the postman collection, copy the code from the (=) symbol to the (&amp;) symbol preceding the state. This code will be used on the next step by the TPP to get an access code for the resources.</w:t>
      </w:r>
    </w:p>
    <w:p>
      <w:pPr>
        <w:pStyle w:val="ListParagraph"/>
        <w:ind w:left="1080" w:hanging="0"/>
        <w:rPr/>
      </w:pPr>
      <w:r>
        <w:rPr/>
      </w:r>
    </w:p>
    <w:p>
      <w:pPr>
        <w:pStyle w:val="ListParagraph"/>
        <w:ind w:left="0" w:hanging="0"/>
        <w:rPr>
          <w:b/>
          <w:b/>
        </w:rPr>
      </w:pPr>
      <w:r>
        <w:rPr/>
        <w:drawing>
          <wp:inline distT="0" distB="0" distL="0" distR="8890">
            <wp:extent cx="5725160" cy="3110865"/>
            <wp:effectExtent l="0" t="0" r="0" b="0"/>
            <wp:docPr id="8" name="Picture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9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</w:t>
      </w:r>
      <w:r>
        <w:br w:type="page"/>
      </w:r>
    </w:p>
    <w:p>
      <w:pPr>
        <w:pStyle w:val="Titolo2"/>
        <w:rPr/>
      </w:pPr>
      <w:bookmarkStart w:id="9" w:name="_Toc29910857"/>
      <w:r>
        <w:rPr/>
        <w:t>TOKEN GENERATION</w:t>
      </w:r>
      <w:bookmarkEnd w:id="9"/>
    </w:p>
    <w:p>
      <w:pPr>
        <w:pStyle w:val="ListParagraph"/>
        <w:numPr>
          <w:ilvl w:val="0"/>
          <w:numId w:val="3"/>
        </w:numPr>
        <w:rPr>
          <w:b/>
          <w:b/>
        </w:rPr>
      </w:pPr>
      <w:r>
        <w:rPr>
          <w:b/>
        </w:rPr>
        <w:t>Create Token</w:t>
      </w:r>
    </w:p>
    <w:p>
      <w:pPr>
        <w:pStyle w:val="ListParagraph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5"/>
        </w:numPr>
        <w:rPr/>
      </w:pPr>
      <w:r>
        <w:rPr/>
        <w:t>Go under Token Generation-&gt;Create Access Token. Click on ‘Body’.</w:t>
      </w:r>
    </w:p>
    <w:p>
      <w:pPr>
        <w:pStyle w:val="ListParagraph"/>
        <w:numPr>
          <w:ilvl w:val="0"/>
          <w:numId w:val="5"/>
        </w:numPr>
        <w:rPr/>
      </w:pPr>
      <w:r>
        <w:rPr/>
        <w:t>The code copied from the previous step (Consent Creation / Paragraph 2 - Consent Creation, Step 9) must be inserted on the ‘code’ parameter.</w:t>
      </w:r>
    </w:p>
    <w:p>
      <w:pPr>
        <w:pStyle w:val="ListParagraph"/>
        <w:numPr>
          <w:ilvl w:val="0"/>
          <w:numId w:val="5"/>
        </w:numPr>
        <w:rPr/>
      </w:pPr>
      <w:r>
        <w:rPr/>
        <w:t xml:space="preserve">Reassure yourself to delete the cookies, if there are any and click Send. </w:t>
      </w:r>
    </w:p>
    <w:p>
      <w:pPr>
        <w:pStyle w:val="ListParagraph"/>
        <w:rPr/>
      </w:pPr>
      <w:r>
        <w:rPr/>
      </w:r>
    </w:p>
    <w:p>
      <w:pPr>
        <w:pStyle w:val="ListParagraph"/>
        <w:ind w:left="0" w:hanging="0"/>
        <w:rPr/>
      </w:pPr>
      <w:r>
        <w:rPr/>
        <w:drawing>
          <wp:inline distT="0" distB="0" distL="0" distR="8890">
            <wp:extent cx="5725160" cy="3110865"/>
            <wp:effectExtent l="0" t="0" r="0" b="0"/>
            <wp:docPr id="9" name="Picture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0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/>
      </w:pPr>
      <w:r>
        <w:rPr/>
      </w:r>
    </w:p>
    <w:p>
      <w:pPr>
        <w:pStyle w:val="ListParagraph"/>
        <w:ind w:left="1080" w:hanging="0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</w:rPr>
      </w:pPr>
      <w:r>
        <w:rPr>
          <w:b/>
        </w:rPr>
      </w:r>
      <w:r>
        <w:br w:type="page"/>
      </w:r>
    </w:p>
    <w:p>
      <w:pPr>
        <w:pStyle w:val="Titolo2"/>
        <w:rPr/>
      </w:pPr>
      <w:bookmarkStart w:id="10" w:name="_Toc29910858"/>
      <w:r>
        <w:rPr/>
        <w:t>DOMESTIC PAYMENT APIs</w:t>
      </w:r>
      <w:bookmarkEnd w:id="10"/>
    </w:p>
    <w:p>
      <w:pPr>
        <w:pStyle w:val="ListParagraph"/>
        <w:numPr>
          <w:ilvl w:val="0"/>
          <w:numId w:val="4"/>
        </w:numPr>
        <w:rPr>
          <w:b/>
          <w:b/>
        </w:rPr>
      </w:pPr>
      <w:r>
        <w:rPr>
          <w:b/>
        </w:rPr>
        <w:t>Funds Confirmation.</w:t>
      </w:r>
    </w:p>
    <w:p>
      <w:pPr>
        <w:pStyle w:val="ListParagraph"/>
        <w:rPr/>
      </w:pPr>
      <w:r>
        <w:rPr/>
        <w:t>Delete cookies if there are any and click Send.</w:t>
      </w:r>
    </w:p>
    <w:p>
      <w:pPr>
        <w:pStyle w:val="Normal"/>
        <w:rPr/>
      </w:pPr>
      <w:r>
        <w:rPr/>
        <w:drawing>
          <wp:inline distT="0" distB="0" distL="0" distR="8890">
            <wp:extent cx="5725160" cy="3110865"/>
            <wp:effectExtent l="0" t="0" r="0" b="0"/>
            <wp:docPr id="10" name="Picture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5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4"/>
        </w:numPr>
        <w:rPr>
          <w:b/>
          <w:b/>
        </w:rPr>
      </w:pPr>
      <w:r>
        <w:rPr>
          <w:b/>
        </w:rPr>
        <w:t>Payments Create.</w:t>
      </w:r>
    </w:p>
    <w:p>
      <w:pPr>
        <w:pStyle w:val="Normal"/>
        <w:ind w:left="360" w:hanging="0"/>
        <w:rPr/>
      </w:pPr>
      <w:r>
        <w:rPr/>
        <w:t xml:space="preserve">Here all data inside the Body part must be the same as in the </w:t>
      </w:r>
      <w:r>
        <w:rPr>
          <w:b/>
        </w:rPr>
        <w:t>‘Create Consent’</w:t>
      </w:r>
      <w:r>
        <w:rPr/>
        <w:t xml:space="preserve"> step, meaning that the internal part must be the same. Except the ‘ConsentId’.</w:t>
      </w:r>
    </w:p>
    <w:p>
      <w:pPr>
        <w:pStyle w:val="Normal"/>
        <w:rPr>
          <w:b/>
          <w:b/>
        </w:rPr>
      </w:pPr>
      <w:r>
        <w:rPr/>
        <w:t xml:space="preserve">    </w:t>
      </w:r>
      <w:r>
        <w:rPr/>
        <w:t xml:space="preserve">1)  We get the ConsentId from the link generated in the </w:t>
      </w:r>
      <w:r>
        <w:rPr>
          <w:b/>
        </w:rPr>
        <w:t xml:space="preserve">Create Consent </w:t>
      </w:r>
      <w:r>
        <w:rPr/>
        <w:t>step.</w:t>
      </w:r>
    </w:p>
    <w:p>
      <w:pPr>
        <w:pStyle w:val="ListParagraph"/>
        <w:ind w:left="0" w:hanging="0"/>
        <w:rPr>
          <w:b/>
          <w:b/>
        </w:rPr>
      </w:pPr>
      <w:r>
        <w:rPr/>
        <w:drawing>
          <wp:inline distT="0" distB="0" distL="0" distR="8890">
            <wp:extent cx="5725160" cy="3091180"/>
            <wp:effectExtent l="0" t="0" r="0" b="0"/>
            <wp:docPr id="11" name="Picture 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2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09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8"/>
        </w:numPr>
        <w:rPr/>
      </w:pPr>
      <w:r>
        <w:rPr/>
        <w:t xml:space="preserve">Copy the ConsentId and insert it on the ConsentId parameter under APIs-&gt;Payments Create-&gt;Body </w:t>
      </w:r>
    </w:p>
    <w:p>
      <w:pPr>
        <w:pStyle w:val="ListParagraph"/>
        <w:rPr/>
      </w:pPr>
      <w:r>
        <w:rPr/>
      </w:r>
    </w:p>
    <w:p>
      <w:pPr>
        <w:pStyle w:val="ListParagraph"/>
        <w:numPr>
          <w:ilvl w:val="0"/>
          <w:numId w:val="8"/>
        </w:numPr>
        <w:ind w:left="0" w:hanging="0"/>
        <w:rPr/>
      </w:pPr>
      <w:r>
        <w:rPr/>
        <w:t>Click Send</w:t>
      </w:r>
      <w:r>
        <w:rPr/>
        <w:drawing>
          <wp:inline distT="0" distB="0" distL="0" distR="8890">
            <wp:extent cx="5725160" cy="3110865"/>
            <wp:effectExtent l="0" t="0" r="0" b="0"/>
            <wp:docPr id="12" name="Picture 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3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Titolo1"/>
        <w:rPr>
          <w:b w:val="false"/>
          <w:b w:val="false"/>
        </w:rPr>
      </w:pPr>
      <w:bookmarkStart w:id="11" w:name="_Toc29910859"/>
      <w:r>
        <w:rPr/>
        <w:t>PISP INTERNATIONAL PAYMENT APIs</w:t>
      </w:r>
      <w:bookmarkEnd w:id="11"/>
    </w:p>
    <w:p>
      <w:pPr>
        <w:pStyle w:val="Titolo2"/>
        <w:rPr/>
      </w:pPr>
      <w:bookmarkStart w:id="12" w:name="_Toc29910860"/>
      <w:r>
        <w:rPr/>
        <w:t>CONSENT CREATION</w:t>
      </w:r>
      <w:bookmarkEnd w:id="12"/>
    </w:p>
    <w:p>
      <w:pPr>
        <w:pStyle w:val="ListParagraph"/>
        <w:numPr>
          <w:ilvl w:val="0"/>
          <w:numId w:val="1"/>
        </w:numPr>
        <w:rPr>
          <w:b/>
          <w:b/>
        </w:rPr>
      </w:pPr>
      <w:r>
        <w:rPr>
          <w:b/>
        </w:rPr>
        <w:t>Client Credentials Access Token to Create Consent</w:t>
      </w:r>
    </w:p>
    <w:p>
      <w:pPr>
        <w:pStyle w:val="ListParagraph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2"/>
        </w:numPr>
        <w:rPr/>
      </w:pPr>
      <w:r>
        <w:rPr/>
        <w:t xml:space="preserve">Username is the </w:t>
      </w:r>
      <w:r>
        <w:rPr>
          <w:rFonts w:cs="Calibri" w:cstheme="minorHAnsi"/>
          <w:shd w:fill="FFFFFF" w:val="clear"/>
        </w:rPr>
        <w:t>clientIdPay</w:t>
      </w:r>
      <w:r>
        <w:rPr/>
        <w:t xml:space="preserve"> and the Password is the </w:t>
      </w:r>
      <w:r>
        <w:rPr>
          <w:rFonts w:cs="Calibri" w:cstheme="minorHAnsi"/>
          <w:shd w:fill="FFFFFF" w:val="clear"/>
        </w:rPr>
        <w:t>clientPassPay</w:t>
      </w:r>
      <w:r>
        <w:rPr/>
        <w:t xml:space="preserve"> earlier specified in the collection’s environment.</w:t>
      </w:r>
    </w:p>
    <w:p>
      <w:pPr>
        <w:pStyle w:val="ListParagraph"/>
        <w:numPr>
          <w:ilvl w:val="0"/>
          <w:numId w:val="2"/>
        </w:numPr>
        <w:rPr/>
      </w:pPr>
      <w:r>
        <w:rPr/>
        <w:t>Click on Send.</w:t>
      </w:r>
    </w:p>
    <w:p>
      <w:pPr>
        <w:pStyle w:val="ListParagraph"/>
        <w:numPr>
          <w:ilvl w:val="0"/>
          <w:numId w:val="2"/>
        </w:numPr>
        <w:rPr/>
      </w:pPr>
      <w:r>
        <w:rPr/>
        <w:t>This is the response provided. Inside there is an access token which will be later used for the call of Consent permission.</w:t>
      </w:r>
    </w:p>
    <w:p>
      <w:pPr>
        <w:pStyle w:val="ListParagraph"/>
        <w:rPr/>
      </w:pPr>
      <w:r>
        <w:rPr/>
      </w:r>
    </w:p>
    <w:p>
      <w:pPr>
        <w:pStyle w:val="ListParagraph"/>
        <w:ind w:left="0" w:hanging="0"/>
        <w:rPr>
          <w:b/>
          <w:b/>
        </w:rPr>
      </w:pPr>
      <w:r>
        <w:rPr/>
        <w:drawing>
          <wp:inline distT="0" distB="1905" distL="0" distR="4445">
            <wp:extent cx="5729605" cy="3103245"/>
            <wp:effectExtent l="0" t="0" r="0" b="0"/>
            <wp:docPr id="13" name="Picture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2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310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/>
      </w:pPr>
      <w:r>
        <w:rPr/>
      </w:r>
    </w:p>
    <w:p>
      <w:pPr>
        <w:pStyle w:val="Normal"/>
        <w:rPr>
          <w:b/>
          <w:b/>
        </w:rPr>
      </w:pPr>
      <w:r>
        <w:rPr>
          <w:b/>
        </w:rPr>
      </w:r>
      <w:r>
        <w:br w:type="page"/>
      </w:r>
    </w:p>
    <w:p>
      <w:pPr>
        <w:pStyle w:val="ListParagraph"/>
        <w:numPr>
          <w:ilvl w:val="0"/>
          <w:numId w:val="1"/>
        </w:numPr>
        <w:rPr>
          <w:b/>
          <w:b/>
        </w:rPr>
      </w:pPr>
      <w:r>
        <w:rPr>
          <w:b/>
        </w:rPr>
        <w:t>Create Consent</w:t>
      </w:r>
    </w:p>
    <w:p>
      <w:pPr>
        <w:pStyle w:val="ListParagraph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6"/>
        </w:numPr>
        <w:rPr/>
      </w:pPr>
      <w:r>
        <w:rPr/>
        <w:t xml:space="preserve">Under ‘Body-&gt;raw’, </w:t>
      </w:r>
      <w:r>
        <w:rPr>
          <w:b/>
        </w:rPr>
        <w:t>always</w:t>
      </w:r>
      <w:r>
        <w:rPr/>
        <w:t xml:space="preserve"> set the ExpirationDateTime in the </w:t>
      </w:r>
      <w:r>
        <w:rPr>
          <w:b/>
        </w:rPr>
        <w:t>future</w:t>
      </w:r>
      <w:r>
        <w:rPr/>
        <w:t xml:space="preserve">. </w:t>
      </w:r>
    </w:p>
    <w:p>
      <w:pPr>
        <w:pStyle w:val="ListParagraph"/>
        <w:numPr>
          <w:ilvl w:val="0"/>
          <w:numId w:val="6"/>
        </w:numPr>
        <w:rPr/>
      </w:pPr>
      <w:r>
        <w:rPr/>
        <w:t>The InstructedAmount/Amount is the amount that will be transferred to the Beneficiary (Crediting Amount)</w:t>
      </w:r>
    </w:p>
    <w:p>
      <w:pPr>
        <w:pStyle w:val="ListParagraph"/>
        <w:numPr>
          <w:ilvl w:val="0"/>
          <w:numId w:val="6"/>
        </w:numPr>
        <w:rPr/>
      </w:pPr>
      <w:r>
        <w:rPr/>
        <w:t>The InstructedAmount/Currency is the currency to which the Beneficiary will receive the amount (Crediting Currency)</w:t>
      </w:r>
    </w:p>
    <w:p>
      <w:pPr>
        <w:pStyle w:val="ListParagraph"/>
        <w:numPr>
          <w:ilvl w:val="0"/>
          <w:numId w:val="6"/>
        </w:numPr>
        <w:rPr/>
      </w:pPr>
      <w:r>
        <w:rPr/>
        <w:t>The CreditorAccount/Identification is the Beneficiary account (Creditor Account in the SWIFT format). The beneficiary account number should be preceded by 9 zeros.</w:t>
      </w:r>
    </w:p>
    <w:p>
      <w:pPr>
        <w:pStyle w:val="ListParagraph"/>
        <w:numPr>
          <w:ilvl w:val="0"/>
          <w:numId w:val="6"/>
        </w:numPr>
        <w:rPr/>
      </w:pPr>
      <w:r>
        <w:rPr/>
        <w:t xml:space="preserve">The data in the ‘Body’ part must remain the same even in the Payment Creation(APIs/Payments Creation). </w:t>
      </w:r>
    </w:p>
    <w:p>
      <w:pPr>
        <w:pStyle w:val="ListParagraph"/>
        <w:numPr>
          <w:ilvl w:val="0"/>
          <w:numId w:val="6"/>
        </w:numPr>
        <w:rPr/>
      </w:pPr>
      <w:r>
        <w:rPr/>
        <w:t>Click Send.</w:t>
      </w:r>
    </w:p>
    <w:p>
      <w:pPr>
        <w:pStyle w:val="ListParagraph"/>
        <w:rPr/>
      </w:pPr>
      <w:r>
        <w:rPr/>
      </w:r>
    </w:p>
    <w:p>
      <w:pPr>
        <w:pStyle w:val="ListParagraph"/>
        <w:ind w:left="0" w:hanging="0"/>
        <w:rPr/>
      </w:pPr>
      <w:r>
        <w:rPr/>
        <w:drawing>
          <wp:inline distT="0" distB="0" distL="0" distR="0">
            <wp:extent cx="5203190" cy="2820670"/>
            <wp:effectExtent l="0" t="0" r="0" b="0"/>
            <wp:docPr id="14" name="Picture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1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190" cy="282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/>
      </w:pPr>
      <w:r>
        <w:rPr/>
      </w:r>
    </w:p>
    <w:p>
      <w:pPr>
        <w:pStyle w:val="ListParagraph"/>
        <w:numPr>
          <w:ilvl w:val="0"/>
          <w:numId w:val="6"/>
        </w:numPr>
        <w:rPr/>
      </w:pPr>
      <w:r>
        <w:rPr/>
        <w:t xml:space="preserve">Under ‘Test Results’ a link will be generated. </w:t>
      </w:r>
    </w:p>
    <w:p>
      <w:pPr>
        <w:pStyle w:val="ListParagraph"/>
        <w:ind w:left="0" w:hanging="0"/>
        <w:rPr/>
      </w:pPr>
      <w:r>
        <w:rPr/>
        <w:drawing>
          <wp:inline distT="0" distB="1905" distL="0" distR="9525">
            <wp:extent cx="5724525" cy="3103245"/>
            <wp:effectExtent l="0" t="0" r="0" b="0"/>
            <wp:docPr id="15" name="Picture 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0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/>
      </w:pPr>
      <w:r>
        <w:rPr/>
      </w:r>
    </w:p>
    <w:p>
      <w:pPr>
        <w:pStyle w:val="ListParagraph"/>
        <w:numPr>
          <w:ilvl w:val="0"/>
          <w:numId w:val="6"/>
        </w:numPr>
        <w:rPr/>
      </w:pPr>
      <w:r>
        <w:rPr/>
        <w:t xml:space="preserve">Copy the link and paste the above link in a browser. Confirm that the port number is the one of OBDX internet application call it. </w:t>
      </w:r>
    </w:p>
    <w:p>
      <w:pPr>
        <w:pStyle w:val="ListParagraph"/>
        <w:ind w:left="0" w:hanging="0"/>
        <w:rPr/>
      </w:pPr>
      <w:r>
        <w:rPr/>
        <w:drawing>
          <wp:inline distT="0" distB="0" distL="0" distR="9525">
            <wp:extent cx="5724525" cy="3108960"/>
            <wp:effectExtent l="0" t="0" r="0" b="0"/>
            <wp:docPr id="16" name="Picture 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5" descr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3" w:name="_Hlk29815931"/>
      <w:bookmarkEnd w:id="13"/>
    </w:p>
    <w:p>
      <w:pPr>
        <w:pStyle w:val="ListParagraph"/>
        <w:rPr>
          <w:i/>
          <w:i/>
          <w:sz w:val="20"/>
        </w:rPr>
      </w:pPr>
      <w:r>
        <w:rPr>
          <w:i/>
          <w:sz w:val="20"/>
        </w:rPr>
        <w:t>Note: We recommend using the Incognito mode for avoiding any cache issues with the browsers.</w:t>
      </w:r>
    </w:p>
    <w:p>
      <w:pPr>
        <w:pStyle w:val="ListParagraph"/>
        <w:rPr/>
      </w:pPr>
      <w:r>
        <w:rPr/>
      </w:r>
    </w:p>
    <w:p>
      <w:pPr>
        <w:pStyle w:val="ListParagraph"/>
        <w:numPr>
          <w:ilvl w:val="0"/>
          <w:numId w:val="6"/>
        </w:numPr>
        <w:rPr/>
      </w:pPr>
      <w:r>
        <w:rPr/>
        <w:t>This link redirects to a login page where should be provided the credentials of the specific user. By user it’s meant the bank’s customer to which the TPP is requesting access toward resources.</w:t>
      </w:r>
    </w:p>
    <w:p>
      <w:pPr>
        <w:pStyle w:val="Normal"/>
        <w:ind w:left="360" w:hanging="0"/>
        <w:rPr/>
      </w:pPr>
      <w:r>
        <w:rPr/>
      </w:r>
    </w:p>
    <w:p>
      <w:pPr>
        <w:pStyle w:val="Normal"/>
        <w:rPr/>
      </w:pPr>
      <w:r>
        <w:rPr/>
        <w:drawing>
          <wp:inline distT="0" distB="0" distL="0" distR="9525">
            <wp:extent cx="5591175" cy="3036570"/>
            <wp:effectExtent l="0" t="0" r="0" b="0"/>
            <wp:docPr id="17" name="Picture 2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20" descr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03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ind w:left="360" w:hanging="0"/>
        <w:rPr/>
      </w:pPr>
      <w:r>
        <w:rPr/>
      </w:r>
    </w:p>
    <w:p>
      <w:pPr>
        <w:pStyle w:val="Normal"/>
        <w:ind w:left="360" w:hanging="0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ind w:left="360" w:hanging="0"/>
        <w:rPr/>
      </w:pPr>
      <w:r>
        <w:rPr/>
      </w:r>
    </w:p>
    <w:p>
      <w:pPr>
        <w:pStyle w:val="ListParagraph"/>
        <w:numPr>
          <w:ilvl w:val="0"/>
          <w:numId w:val="6"/>
        </w:numPr>
        <w:rPr/>
      </w:pPr>
      <w:r>
        <w:rPr/>
        <w:t xml:space="preserve">The customer should give access to any of the following accounts by checking them and confirming. </w:t>
      </w:r>
    </w:p>
    <w:p>
      <w:pPr>
        <w:pStyle w:val="Normal"/>
        <w:rPr/>
      </w:pPr>
      <w:r>
        <w:rPr/>
        <w:drawing>
          <wp:inline distT="0" distB="1905" distL="0" distR="9525">
            <wp:extent cx="5724525" cy="3103245"/>
            <wp:effectExtent l="0" t="0" r="0" b="0"/>
            <wp:docPr id="18" name="Picture 2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22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0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ind w:left="1080" w:hanging="0"/>
        <w:rPr/>
      </w:pPr>
      <w:r>
        <w:rPr/>
      </w:r>
    </w:p>
    <w:p>
      <w:pPr>
        <w:pStyle w:val="ListParagraph"/>
        <w:numPr>
          <w:ilvl w:val="0"/>
          <w:numId w:val="6"/>
        </w:numPr>
        <w:rPr/>
      </w:pPr>
      <w:r>
        <w:rPr/>
        <w:t>OBDX will forward the confirmation code to the TPP redirect_uri previously specified. As for the postman collection, copy the code from the (=) symbol to the (&amp;) symbol preceding the state. This code will be used on the next step by the TPP to get an access code for the resources.</w:t>
      </w:r>
    </w:p>
    <w:p>
      <w:pPr>
        <w:pStyle w:val="ListParagraph"/>
        <w:rPr/>
      </w:pPr>
      <w:r>
        <w:rPr/>
      </w:r>
    </w:p>
    <w:p>
      <w:pPr>
        <w:pStyle w:val="ListParagraph"/>
        <w:ind w:left="0" w:hanging="0"/>
        <w:rPr/>
      </w:pPr>
      <w:r>
        <w:rPr/>
        <w:drawing>
          <wp:inline distT="19050" distB="20955" distL="19050" distR="28575">
            <wp:extent cx="5724525" cy="3103245"/>
            <wp:effectExtent l="0" t="0" r="0" b="0"/>
            <wp:docPr id="19" name="Picture 2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24" descr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0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ind w:left="1080" w:hanging="0"/>
        <w:rPr/>
      </w:pPr>
      <w:r>
        <w:rPr/>
      </w:r>
    </w:p>
    <w:p>
      <w:pPr>
        <w:pStyle w:val="Titolo2"/>
        <w:rPr/>
      </w:pPr>
      <w:bookmarkStart w:id="14" w:name="_Toc29910861"/>
      <w:r>
        <w:rPr/>
        <w:t>TOKEN GENERATION</w:t>
      </w:r>
      <w:bookmarkEnd w:id="14"/>
    </w:p>
    <w:p>
      <w:pPr>
        <w:pStyle w:val="ListParagraph"/>
        <w:numPr>
          <w:ilvl w:val="0"/>
          <w:numId w:val="3"/>
        </w:numPr>
        <w:rPr>
          <w:b/>
          <w:b/>
        </w:rPr>
      </w:pPr>
      <w:r>
        <w:rPr>
          <w:b/>
        </w:rPr>
        <w:t>Create Token</w:t>
      </w:r>
    </w:p>
    <w:p>
      <w:pPr>
        <w:pStyle w:val="ListParagraph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9"/>
        </w:numPr>
        <w:rPr/>
      </w:pPr>
      <w:r>
        <w:rPr/>
        <w:t>Go under Token Generation-&gt;Create Access Token. Click on ‘Body’.</w:t>
      </w:r>
    </w:p>
    <w:p>
      <w:pPr>
        <w:pStyle w:val="ListParagraph"/>
        <w:numPr>
          <w:ilvl w:val="0"/>
          <w:numId w:val="9"/>
        </w:numPr>
        <w:rPr/>
      </w:pPr>
      <w:r>
        <w:rPr/>
        <w:t>The code copied from the previous step (Consent Creation / Paragraph 2 - Consent Creation, Step 9) must be inserted on the ‘code’ parameter.</w:t>
      </w:r>
    </w:p>
    <w:p>
      <w:pPr>
        <w:pStyle w:val="ListParagraph"/>
        <w:numPr>
          <w:ilvl w:val="0"/>
          <w:numId w:val="9"/>
        </w:numPr>
        <w:rPr/>
      </w:pPr>
      <w:r>
        <w:rPr/>
        <w:t xml:space="preserve">Reassure yourself to delete the cookies, if there are any and click Send. </w:t>
      </w:r>
    </w:p>
    <w:p>
      <w:pPr>
        <w:pStyle w:val="ListParagraph"/>
        <w:ind w:left="0" w:hanging="0"/>
        <w:rPr/>
      </w:pPr>
      <w:r>
        <w:rPr/>
        <w:drawing>
          <wp:inline distT="0" distB="1905" distL="0" distR="9525">
            <wp:extent cx="5724525" cy="3103245"/>
            <wp:effectExtent l="0" t="0" r="0" b="0"/>
            <wp:docPr id="20" name="Picture 2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5" descr="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0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Titolo2"/>
        <w:rPr/>
      </w:pPr>
      <w:bookmarkStart w:id="15" w:name="_Toc29910862"/>
      <w:r>
        <w:rPr/>
        <w:t>INTERNATIONAL PAYMENT APIs</w:t>
      </w:r>
      <w:bookmarkEnd w:id="15"/>
    </w:p>
    <w:p>
      <w:pPr>
        <w:pStyle w:val="ListParagraph"/>
        <w:numPr>
          <w:ilvl w:val="0"/>
          <w:numId w:val="4"/>
        </w:numPr>
        <w:ind w:left="720" w:hanging="360"/>
        <w:rPr>
          <w:b/>
          <w:b/>
        </w:rPr>
      </w:pPr>
      <w:r>
        <w:rPr>
          <w:b/>
        </w:rPr>
        <w:t>Payments Create.</w:t>
      </w:r>
    </w:p>
    <w:p>
      <w:pPr>
        <w:pStyle w:val="Normal"/>
        <w:ind w:left="360" w:hanging="0"/>
        <w:rPr/>
      </w:pPr>
      <w:r>
        <w:rPr/>
        <w:t xml:space="preserve">Here all data inside the Body part must be the same as in the </w:t>
      </w:r>
      <w:r>
        <w:rPr>
          <w:b/>
        </w:rPr>
        <w:t>‘Create Consent’</w:t>
      </w:r>
      <w:r>
        <w:rPr/>
        <w:t xml:space="preserve"> step, meaning that the internal part must be the same. Except the ‘ConsentId’.</w:t>
      </w:r>
    </w:p>
    <w:p>
      <w:pPr>
        <w:pStyle w:val="Normal"/>
        <w:rPr>
          <w:b/>
          <w:b/>
        </w:rPr>
      </w:pPr>
      <w:r>
        <w:rPr/>
        <w:t xml:space="preserve">    </w:t>
      </w:r>
      <w:r>
        <w:rPr/>
        <w:t xml:space="preserve">1)  We get the ConsentId from the link generated in the </w:t>
      </w:r>
      <w:r>
        <w:rPr>
          <w:b/>
        </w:rPr>
        <w:t xml:space="preserve">Create Consent </w:t>
      </w:r>
      <w:r>
        <w:rPr/>
        <w:t>step.</w:t>
      </w:r>
    </w:p>
    <w:p>
      <w:pPr>
        <w:pStyle w:val="Normal"/>
        <w:rPr>
          <w:b/>
          <w:b/>
        </w:rPr>
      </w:pPr>
      <w:r>
        <w:rPr/>
        <w:drawing>
          <wp:inline distT="0" distB="1905" distL="0" distR="9525">
            <wp:extent cx="5724525" cy="3103245"/>
            <wp:effectExtent l="0" t="0" r="0" b="0"/>
            <wp:docPr id="21" name="Picture 2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9" descr="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0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10"/>
        </w:numPr>
        <w:rPr/>
      </w:pPr>
      <w:r>
        <w:rPr/>
        <w:t xml:space="preserve">Copy the ConsentId and insert it on the ConsentId parameter under APIs-&gt;Payments Create-&gt;Body </w:t>
      </w:r>
    </w:p>
    <w:p>
      <w:pPr>
        <w:pStyle w:val="ListParagraph"/>
        <w:ind w:left="0" w:hanging="0"/>
        <w:rPr/>
      </w:pPr>
      <w:r>
        <w:rPr/>
        <w:drawing>
          <wp:inline distT="0" distB="6350" distL="0" distR="9525">
            <wp:extent cx="5724525" cy="1917700"/>
            <wp:effectExtent l="0" t="0" r="0" b="0"/>
            <wp:docPr id="22" name="Picture 2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8" descr="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91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/>
      </w:pPr>
      <w:r>
        <w:rPr/>
      </w:r>
    </w:p>
    <w:p>
      <w:pPr>
        <w:pStyle w:val="ListParagraph"/>
        <w:numPr>
          <w:ilvl w:val="0"/>
          <w:numId w:val="10"/>
        </w:numPr>
        <w:rPr/>
      </w:pPr>
      <w:r>
        <w:rPr/>
        <w:t>Click Send</w:t>
      </w:r>
    </w:p>
    <w:p>
      <w:pPr>
        <w:pStyle w:val="Normal"/>
        <w:widowControl/>
        <w:bidi w:val="0"/>
        <w:spacing w:lineRule="auto" w:line="259" w:before="0" w:after="160"/>
        <w:jc w:val="left"/>
        <w:rPr/>
      </w:pPr>
      <w:r>
        <w:rPr/>
      </w:r>
    </w:p>
    <w:sectPr>
      <w:type w:val="nextPage"/>
      <w:pgSz w:w="11906" w:h="16838"/>
      <w:pgMar w:left="1440" w:right="1440" w:header="0" w:top="1440" w:footer="0" w:bottom="1440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Calibri Light">
    <w:charset w:val="00"/>
    <w:family w:val="roman"/>
    <w:pitch w:val="variable"/>
  </w:font>
  <w:font w:name="Segoe UI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lvl w:ilvl="0">
      <w:start w:val="1"/>
      <w:numFmt w:val="decimal"/>
      <w:lvlText w:val="%1."/>
      <w:lvlJc w:val="left"/>
      <w:pPr>
        <w:ind w:left="709" w:hanging="360"/>
      </w:pPr>
    </w:lvl>
    <w:lvl w:ilvl="1">
      <w:start w:val="1"/>
      <w:numFmt w:val="lowerLetter"/>
      <w:lvlText w:val="%2."/>
      <w:lvlJc w:val="left"/>
      <w:pPr>
        <w:ind w:left="1429" w:hanging="360"/>
      </w:pPr>
    </w:lvl>
    <w:lvl w:ilvl="2">
      <w:start w:val="1"/>
      <w:numFmt w:val="lowerRoman"/>
      <w:lvlText w:val="%3."/>
      <w:lvlJc w:val="right"/>
      <w:pPr>
        <w:ind w:left="2149" w:hanging="180"/>
      </w:pPr>
    </w:lvl>
    <w:lvl w:ilvl="3">
      <w:start w:val="1"/>
      <w:numFmt w:val="decimal"/>
      <w:lvlText w:val="%4."/>
      <w:lvlJc w:val="left"/>
      <w:pPr>
        <w:ind w:left="2869" w:hanging="360"/>
      </w:pPr>
    </w:lvl>
    <w:lvl w:ilvl="4">
      <w:start w:val="1"/>
      <w:numFmt w:val="lowerLetter"/>
      <w:lvlText w:val="%5."/>
      <w:lvlJc w:val="left"/>
      <w:pPr>
        <w:ind w:left="3589" w:hanging="360"/>
      </w:pPr>
    </w:lvl>
    <w:lvl w:ilvl="5">
      <w:start w:val="1"/>
      <w:numFmt w:val="lowerRoman"/>
      <w:lvlText w:val="%6."/>
      <w:lvlJc w:val="right"/>
      <w:pPr>
        <w:ind w:left="4309" w:hanging="180"/>
      </w:pPr>
    </w:lvl>
    <w:lvl w:ilvl="6">
      <w:start w:val="1"/>
      <w:numFmt w:val="decimal"/>
      <w:lvlText w:val="%7."/>
      <w:lvlJc w:val="left"/>
      <w:pPr>
        <w:ind w:left="5029" w:hanging="360"/>
      </w:pPr>
    </w:lvl>
    <w:lvl w:ilvl="7">
      <w:start w:val="1"/>
      <w:numFmt w:val="lowerLetter"/>
      <w:lvlText w:val="%8."/>
      <w:lvlJc w:val="left"/>
      <w:pPr>
        <w:ind w:left="5749" w:hanging="360"/>
      </w:pPr>
    </w:lvl>
    <w:lvl w:ilvl="8">
      <w:start w:val="1"/>
      <w:numFmt w:val="lowerRoman"/>
      <w:lvlText w:val="%9."/>
      <w:lvlJc w:val="right"/>
      <w:pPr>
        <w:ind w:left="6469" w:hanging="180"/>
      </w:pPr>
    </w:lvl>
  </w:abstractNum>
  <w:abstractNum w:abstractNumId="5"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lvl w:ilvl="0">
      <w:start w:val="1"/>
      <w:numFmt w:val="decimal"/>
      <w:lvlText w:val="%1)"/>
      <w:lvlJc w:val="left"/>
      <w:pPr>
        <w:ind w:left="1080" w:hanging="360"/>
      </w:pPr>
      <w:rPr>
        <w:rFonts w:eastAsia="Calibri" w:cs="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lvl w:ilvl="0">
      <w:start w:val="2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lvl w:ilvl="0">
      <w:start w:val="1"/>
      <w:numFmt w:val="decimal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lvl w:ilvl="0">
      <w:start w:val="2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</w:numbering>
</file>

<file path=word/settings.xml><?xml version="1.0" encoding="utf-8"?>
<w:settings xmlns:w="http://schemas.openxmlformats.org/wordprocessingml/2006/main">
  <w:zoom w:percent="140"/>
  <w:defaultTabStop w:val="720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en-GB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n-GB" w:eastAsia="en-US" w:bidi="ar-SA"/>
      </w:rPr>
    </w:rPrDefault>
    <w:pPrDefault>
      <w:pPr/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rsid w:val="00e07095"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en-GB" w:eastAsia="en-US" w:bidi="ar-SA"/>
    </w:rPr>
  </w:style>
  <w:style w:type="paragraph" w:styleId="Titolo1">
    <w:name w:val="Heading 1"/>
    <w:basedOn w:val="Normal"/>
    <w:next w:val="Normal"/>
    <w:link w:val="Heading1Char"/>
    <w:uiPriority w:val="9"/>
    <w:qFormat/>
    <w:rsid w:val="00690b22"/>
    <w:pPr>
      <w:keepNext w:val="true"/>
      <w:keepLines/>
      <w:spacing w:before="24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color w:val="2F5496" w:themeColor="accent1" w:themeShade="bf"/>
      <w:sz w:val="32"/>
      <w:szCs w:val="32"/>
    </w:rPr>
  </w:style>
  <w:style w:type="paragraph" w:styleId="Titolo2">
    <w:name w:val="Heading 2"/>
    <w:basedOn w:val="Normal"/>
    <w:next w:val="Normal"/>
    <w:link w:val="Heading2Char"/>
    <w:uiPriority w:val="9"/>
    <w:unhideWhenUsed/>
    <w:qFormat/>
    <w:rsid w:val="00690b22"/>
    <w:pPr>
      <w:keepNext w:val="true"/>
      <w:keepLines/>
      <w:spacing w:before="40" w:after="0"/>
      <w:outlineLvl w:val="1"/>
    </w:pPr>
    <w:rPr>
      <w:rFonts w:ascii="Calibri Light" w:hAnsi="Calibri Light" w:eastAsia="" w:cs="" w:asciiTheme="majorHAnsi" w:cstheme="majorBidi" w:eastAsiaTheme="majorEastAsia" w:hAnsiTheme="majorHAnsi"/>
      <w:color w:val="2F5496" w:themeColor="accent1" w:themeShade="bf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BalloonTextChar" w:customStyle="1">
    <w:name w:val="Balloon Text Char"/>
    <w:basedOn w:val="DefaultParagraphFont"/>
    <w:link w:val="BalloonText"/>
    <w:uiPriority w:val="99"/>
    <w:semiHidden/>
    <w:qFormat/>
    <w:rsid w:val="00e07095"/>
    <w:rPr>
      <w:rFonts w:ascii="Segoe UI" w:hAnsi="Segoe UI" w:cs="Segoe UI"/>
      <w:sz w:val="18"/>
      <w:szCs w:val="18"/>
    </w:rPr>
  </w:style>
  <w:style w:type="character" w:styleId="TitleChar" w:customStyle="1">
    <w:name w:val="Title Char"/>
    <w:basedOn w:val="DefaultParagraphFont"/>
    <w:link w:val="Title"/>
    <w:uiPriority w:val="10"/>
    <w:qFormat/>
    <w:rsid w:val="00690b22"/>
    <w:rPr>
      <w:rFonts w:ascii="Calibri Light" w:hAnsi="Calibri Light" w:eastAsia="" w:cs="" w:asciiTheme="majorHAnsi" w:cstheme="majorBidi" w:eastAsiaTheme="majorEastAsia" w:hAnsiTheme="majorHAnsi"/>
      <w:spacing w:val="-10"/>
      <w:kern w:val="2"/>
      <w:sz w:val="56"/>
      <w:szCs w:val="56"/>
    </w:rPr>
  </w:style>
  <w:style w:type="character" w:styleId="Heading1Char" w:customStyle="1">
    <w:name w:val="Heading 1 Char"/>
    <w:basedOn w:val="DefaultParagraphFont"/>
    <w:link w:val="Heading1"/>
    <w:uiPriority w:val="9"/>
    <w:qFormat/>
    <w:rsid w:val="00690b22"/>
    <w:rPr>
      <w:rFonts w:ascii="Calibri Light" w:hAnsi="Calibri Light" w:eastAsia="" w:cs="" w:asciiTheme="majorHAnsi" w:cstheme="majorBidi" w:eastAsiaTheme="majorEastAsia" w:hAnsiTheme="majorHAnsi"/>
      <w:b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qFormat/>
    <w:rsid w:val="00690b22"/>
    <w:rPr>
      <w:rFonts w:ascii="Calibri Light" w:hAnsi="Calibri Light" w:eastAsia="" w:cs="" w:asciiTheme="majorHAnsi" w:cstheme="majorBidi" w:eastAsiaTheme="majorEastAsia" w:hAnsiTheme="majorHAnsi"/>
      <w:color w:val="2F5496" w:themeColor="accent1" w:themeShade="bf"/>
      <w:sz w:val="26"/>
      <w:szCs w:val="26"/>
    </w:rPr>
  </w:style>
  <w:style w:type="character" w:styleId="CollegamentoInternet">
    <w:name w:val="Collegamento Internet"/>
    <w:basedOn w:val="DefaultParagraphFont"/>
    <w:uiPriority w:val="99"/>
    <w:unhideWhenUsed/>
    <w:rsid w:val="00690b22"/>
    <w:rPr>
      <w:color w:val="0563C1" w:themeColor="hyperlink"/>
      <w:u w:val="single"/>
    </w:rPr>
  </w:style>
  <w:style w:type="character" w:styleId="ListLabel1">
    <w:name w:val="ListLabel 1"/>
    <w:qFormat/>
    <w:rPr>
      <w:rFonts w:eastAsia="Calibri" w:cs=""/>
    </w:rPr>
  </w:style>
  <w:style w:type="character" w:styleId="Saltoaindice">
    <w:name w:val="Salto a indice"/>
    <w:qFormat/>
    <w:rPr/>
  </w:style>
  <w:style w:type="paragraph" w:styleId="Titolo">
    <w:name w:val="Titolo"/>
    <w:basedOn w:val="Normal"/>
    <w:next w:val="Corpodeltesto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orpodeltesto">
    <w:name w:val="Body Text"/>
    <w:basedOn w:val="Normal"/>
    <w:pPr>
      <w:spacing w:lineRule="auto" w:line="276" w:before="0" w:after="140"/>
    </w:pPr>
    <w:rPr/>
  </w:style>
  <w:style w:type="paragraph" w:styleId="Elenco">
    <w:name w:val="List"/>
    <w:basedOn w:val="Corpodeltesto"/>
    <w:pPr/>
    <w:rPr>
      <w:rFonts w:cs="Arial"/>
    </w:rPr>
  </w:style>
  <w:style w:type="paragraph" w:styleId="Didascalia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ice">
    <w:name w:val="Indice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e07095"/>
    <w:pPr>
      <w:spacing w:before="0" w:after="160"/>
      <w:ind w:left="720" w:hanging="0"/>
      <w:contextualSpacing/>
    </w:pPr>
    <w:rPr/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e07095"/>
    <w:pPr>
      <w:spacing w:lineRule="auto" w:line="240" w:before="0" w:after="0"/>
    </w:pPr>
    <w:rPr>
      <w:rFonts w:ascii="Segoe UI" w:hAnsi="Segoe UI" w:cs="Segoe UI"/>
      <w:sz w:val="18"/>
      <w:szCs w:val="18"/>
    </w:rPr>
  </w:style>
  <w:style w:type="paragraph" w:styleId="Titoloprincipale">
    <w:name w:val="Title"/>
    <w:basedOn w:val="Normal"/>
    <w:next w:val="Normal"/>
    <w:link w:val="TitleChar"/>
    <w:uiPriority w:val="10"/>
    <w:qFormat/>
    <w:rsid w:val="00690b22"/>
    <w:pPr>
      <w:spacing w:lineRule="auto" w:line="240" w:before="0" w:after="0"/>
      <w:contextualSpacing/>
    </w:pPr>
    <w:rPr>
      <w:rFonts w:ascii="Calibri Light" w:hAnsi="Calibri Light" w:eastAsia="" w:cs="" w:asciiTheme="majorHAnsi" w:cstheme="majorBidi" w:eastAsiaTheme="majorEastAsia" w:hAnsiTheme="majorHAnsi"/>
      <w:spacing w:val="-10"/>
      <w:kern w:val="2"/>
      <w:sz w:val="56"/>
      <w:szCs w:val="56"/>
    </w:rPr>
  </w:style>
  <w:style w:type="paragraph" w:styleId="TOCHeading">
    <w:name w:val="TOC Heading"/>
    <w:basedOn w:val="Titolo1"/>
    <w:next w:val="Normal"/>
    <w:uiPriority w:val="39"/>
    <w:unhideWhenUsed/>
    <w:qFormat/>
    <w:rsid w:val="00690b22"/>
    <w:pPr/>
    <w:rPr>
      <w:b w:val="false"/>
      <w:lang w:val="en-US"/>
    </w:rPr>
  </w:style>
  <w:style w:type="paragraph" w:styleId="Indice1">
    <w:name w:val="TOC 1"/>
    <w:basedOn w:val="Normal"/>
    <w:next w:val="Normal"/>
    <w:autoRedefine/>
    <w:uiPriority w:val="39"/>
    <w:unhideWhenUsed/>
    <w:rsid w:val="00690b22"/>
    <w:pPr>
      <w:spacing w:before="0" w:after="100"/>
    </w:pPr>
    <w:rPr/>
  </w:style>
  <w:style w:type="paragraph" w:styleId="Indice2">
    <w:name w:val="TOC 2"/>
    <w:basedOn w:val="Normal"/>
    <w:next w:val="Normal"/>
    <w:autoRedefine/>
    <w:uiPriority w:val="39"/>
    <w:unhideWhenUsed/>
    <w:rsid w:val="00690b22"/>
    <w:pPr>
      <w:spacing w:before="0" w:after="100"/>
      <w:ind w:left="220" w:hanging="0"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image" Target="media/image13.png"/><Relationship Id="rId15" Type="http://schemas.openxmlformats.org/officeDocument/2006/relationships/image" Target="media/image14.png"/><Relationship Id="rId16" Type="http://schemas.openxmlformats.org/officeDocument/2006/relationships/image" Target="media/image15.png"/><Relationship Id="rId17" Type="http://schemas.openxmlformats.org/officeDocument/2006/relationships/image" Target="media/image16.png"/><Relationship Id="rId18" Type="http://schemas.openxmlformats.org/officeDocument/2006/relationships/image" Target="media/image17.png"/><Relationship Id="rId19" Type="http://schemas.openxmlformats.org/officeDocument/2006/relationships/image" Target="media/image18.png"/><Relationship Id="rId20" Type="http://schemas.openxmlformats.org/officeDocument/2006/relationships/image" Target="media/image19.png"/><Relationship Id="rId21" Type="http://schemas.openxmlformats.org/officeDocument/2006/relationships/image" Target="media/image20.png"/><Relationship Id="rId22" Type="http://schemas.openxmlformats.org/officeDocument/2006/relationships/image" Target="media/image21.png"/><Relationship Id="rId23" Type="http://schemas.openxmlformats.org/officeDocument/2006/relationships/image" Target="media/image22.png"/><Relationship Id="rId24" Type="http://schemas.openxmlformats.org/officeDocument/2006/relationships/numbering" Target="numbering.xml"/><Relationship Id="rId25" Type="http://schemas.openxmlformats.org/officeDocument/2006/relationships/fontTable" Target="fontTable.xml"/><Relationship Id="rId26" Type="http://schemas.openxmlformats.org/officeDocument/2006/relationships/settings" Target="settings.xml"/><Relationship Id="rId27" Type="http://schemas.openxmlformats.org/officeDocument/2006/relationships/theme" Target="theme/theme1.xml"/><Relationship Id="rId28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27011D-4F16-4E60-ADC7-6D98F1DE76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Application>LibreOffice/6.0.5.2$Windows_X86_64 LibreOffice_project/54c8cbb85f300ac59db32fe8a675ff7683cd5a16</Application>
  <Pages>15</Pages>
  <Words>986</Words>
  <Characters>5068</Characters>
  <CharactersWithSpaces>5960</CharactersWithSpaces>
  <Paragraphs>104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2020-01-13T10:23:00Z</dcterms:created>
  <dc:creator>Pironada Nako</dc:creator>
  <dc:description/>
  <dc:language>it-IT</dc:language>
  <cp:lastModifiedBy/>
  <dcterms:modified xsi:type="dcterms:W3CDTF">2020-01-15T17:27:40Z</dcterms:modified>
  <cp:revision>29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